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21435826" w:displacedByCustomXml="next"/>
    <w:bookmarkStart w:id="1" w:name="_Toc519523459" w:displacedByCustomXml="next"/>
    <w:sdt>
      <w:sdtPr>
        <w:rPr>
          <w:rFonts w:asciiTheme="majorHAnsi" w:eastAsia="Times New Roman" w:hAnsiTheme="majorHAnsi" w:cstheme="majorHAnsi"/>
          <w:sz w:val="72"/>
          <w:szCs w:val="72"/>
        </w:rPr>
        <w:id w:val="208085004"/>
        <w:docPartObj>
          <w:docPartGallery w:val="Cover Pages"/>
          <w:docPartUnique/>
        </w:docPartObj>
      </w:sdtPr>
      <w:sdtEndPr>
        <w:rPr>
          <w:rFonts w:eastAsia="Calibri"/>
          <w:sz w:val="2"/>
          <w:szCs w:val="2"/>
        </w:rPr>
      </w:sdtEndPr>
      <w:sdtContent>
        <w:p w14:paraId="603ECA36" w14:textId="77777777" w:rsidR="008B76AD" w:rsidRPr="001853D9" w:rsidRDefault="008B76AD" w:rsidP="005A6A28">
          <w:pPr>
            <w:spacing w:after="0" w:line="276" w:lineRule="auto"/>
            <w:rPr>
              <w:rFonts w:asciiTheme="majorHAnsi" w:eastAsia="Times New Roman" w:hAnsiTheme="majorHAnsi" w:cstheme="majorHAnsi"/>
              <w:sz w:val="72"/>
              <w:szCs w:val="72"/>
            </w:rPr>
          </w:pPr>
        </w:p>
        <w:p w14:paraId="63E07420" w14:textId="5F10D599" w:rsidR="0065238F" w:rsidRPr="001853D9" w:rsidRDefault="0034064E" w:rsidP="005A6A28">
          <w:pPr>
            <w:spacing w:after="0" w:line="276" w:lineRule="auto"/>
            <w:rPr>
              <w:rFonts w:asciiTheme="majorHAnsi" w:eastAsia="Times New Roman" w:hAnsiTheme="majorHAnsi" w:cstheme="majorHAnsi"/>
              <w:sz w:val="72"/>
              <w:szCs w:val="72"/>
              <w:lang w:eastAsia="ja-JP"/>
            </w:rPr>
          </w:pPr>
          <w:r>
            <w:rPr>
              <w:rFonts w:asciiTheme="majorHAnsi" w:eastAsia="Times New Roman" w:hAnsiTheme="majorHAnsi" w:cstheme="majorHAnsi"/>
              <w:noProof/>
              <w:lang w:val="en-US"/>
            </w:rPr>
            <mc:AlternateContent>
              <mc:Choice Requires="wps">
                <w:drawing>
                  <wp:anchor distT="0" distB="0" distL="114300" distR="114300" simplePos="0" relativeHeight="251652608" behindDoc="0" locked="0" layoutInCell="0" allowOverlap="1" wp14:anchorId="3174DF25" wp14:editId="472E877E">
                    <wp:simplePos x="0" y="0"/>
                    <wp:positionH relativeFrom="page">
                      <wp:posOffset>-66040</wp:posOffset>
                    </wp:positionH>
                    <wp:positionV relativeFrom="page">
                      <wp:posOffset>270510</wp:posOffset>
                    </wp:positionV>
                    <wp:extent cx="7915275" cy="796290"/>
                    <wp:effectExtent l="0" t="0" r="5715"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796290"/>
                            </a:xfrm>
                            <a:prstGeom prst="rect">
                              <a:avLst/>
                            </a:prstGeom>
                            <a:solidFill>
                              <a:schemeClr val="accent1">
                                <a:lumMod val="50000"/>
                              </a:schemeClr>
                            </a:solidFill>
                            <a:ln w="9525">
                              <a:solidFill>
                                <a:srgbClr val="4472C4"/>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926B26" id="Rectangle 3" o:spid="_x0000_s1026" style="position:absolute;margin-left:-5.2pt;margin-top:21.3pt;width:623.25pt;height:62.7pt;z-index:25165260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" o:allowincell="f" fillcolor="#1f3763 [1604]" strokecolor="#4472c4">
                    <w10:wrap anchorx="page" anchory="page"/>
                  </v:rect>
                </w:pict>
              </mc:Fallback>
            </mc:AlternateContent>
          </w:r>
        </w:p>
        <w:p w14:paraId="34D3C8CA" w14:textId="77777777" w:rsidR="0065238F" w:rsidRPr="001853D9" w:rsidRDefault="008B76AD" w:rsidP="005A6A28">
          <w:pPr>
            <w:spacing w:line="276" w:lineRule="auto"/>
            <w:jc w:val="center"/>
            <w:rPr>
              <w:rFonts w:asciiTheme="majorHAnsi" w:eastAsia="Calibri" w:hAnsiTheme="majorHAnsi" w:cstheme="majorHAnsi"/>
              <w:color w:val="595959"/>
            </w:rPr>
          </w:pPr>
          <w:r w:rsidRPr="001853D9">
            <w:rPr>
              <w:rFonts w:asciiTheme="majorHAnsi" w:eastAsia="Calibri" w:hAnsiTheme="majorHAnsi" w:cstheme="majorHAnsi"/>
              <w:noProof/>
              <w:color w:val="595959"/>
              <w:lang w:val="en-US"/>
            </w:rPr>
            <w:drawing>
              <wp:inline distT="0" distB="0" distL="0" distR="0" wp14:anchorId="6BA1547F" wp14:editId="273385F9">
                <wp:extent cx="5274310" cy="1807355"/>
                <wp:effectExtent l="0" t="0" r="2540" b="2540"/>
                <wp:docPr id="14" name="Picture 14" descr="C:\Users\Franciscos\Dropbox\PBO\media\PBO_logo_grap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cos\Dropbox\PBO\media\PBO_logo_graph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807355"/>
                        </a:xfrm>
                        <a:prstGeom prst="rect">
                          <a:avLst/>
                        </a:prstGeom>
                        <a:noFill/>
                        <a:ln>
                          <a:noFill/>
                        </a:ln>
                      </pic:spPr>
                    </pic:pic>
                  </a:graphicData>
                </a:graphic>
              </wp:inline>
            </w:drawing>
          </w:r>
        </w:p>
        <w:p w14:paraId="3BCACD11" w14:textId="77777777" w:rsidR="004D6364" w:rsidRPr="001853D9" w:rsidRDefault="004D6364" w:rsidP="005A6A28">
          <w:pPr>
            <w:spacing w:after="0" w:line="276" w:lineRule="auto"/>
            <w:rPr>
              <w:rFonts w:asciiTheme="majorHAnsi" w:eastAsia="Times New Roman" w:hAnsiTheme="majorHAnsi" w:cstheme="majorHAnsi"/>
              <w:color w:val="595959"/>
              <w:sz w:val="72"/>
              <w:szCs w:val="72"/>
              <w:lang w:eastAsia="ja-JP"/>
            </w:rPr>
          </w:pPr>
        </w:p>
        <w:p w14:paraId="6E29DD4A" w14:textId="77777777" w:rsidR="0065238F" w:rsidRPr="001853D9" w:rsidRDefault="005C193D" w:rsidP="005A6A28">
          <w:pPr>
            <w:spacing w:after="0" w:line="276" w:lineRule="auto"/>
            <w:jc w:val="center"/>
            <w:rPr>
              <w:rFonts w:asciiTheme="majorHAnsi" w:eastAsia="Times New Roman" w:hAnsiTheme="majorHAnsi" w:cstheme="majorHAnsi"/>
              <w:b/>
              <w:color w:val="2F5496" w:themeColor="accent1" w:themeShade="BF"/>
              <w:sz w:val="72"/>
              <w:szCs w:val="72"/>
              <w:lang w:eastAsia="ja-JP"/>
            </w:rPr>
          </w:pPr>
          <w:r w:rsidRPr="001853D9">
            <w:rPr>
              <w:rFonts w:asciiTheme="majorHAnsi" w:eastAsia="Times New Roman" w:hAnsiTheme="majorHAnsi" w:cstheme="majorHAnsi"/>
              <w:b/>
              <w:color w:val="1F3864" w:themeColor="accent1" w:themeShade="80"/>
              <w:sz w:val="72"/>
              <w:szCs w:val="72"/>
              <w:lang w:eastAsia="ja-JP"/>
            </w:rPr>
            <w:t xml:space="preserve">ΕΚΘΕΣΗ </w:t>
          </w:r>
          <w:r w:rsidR="00A769B4">
            <w:rPr>
              <w:rFonts w:asciiTheme="majorHAnsi" w:eastAsia="Times New Roman" w:hAnsiTheme="majorHAnsi" w:cstheme="majorHAnsi"/>
              <w:b/>
              <w:color w:val="1F3864" w:themeColor="accent1" w:themeShade="80"/>
              <w:sz w:val="72"/>
              <w:szCs w:val="72"/>
              <w:lang w:eastAsia="ja-JP"/>
            </w:rPr>
            <w:t>Δ</w:t>
          </w:r>
          <w:r w:rsidR="006E215B" w:rsidRPr="001853D9">
            <w:rPr>
              <w:rFonts w:asciiTheme="majorHAnsi" w:eastAsia="Times New Roman" w:hAnsiTheme="majorHAnsi" w:cstheme="majorHAnsi"/>
              <w:b/>
              <w:color w:val="1F3864" w:themeColor="accent1" w:themeShade="80"/>
              <w:sz w:val="72"/>
              <w:szCs w:val="72"/>
              <w:lang w:eastAsia="ja-JP"/>
            </w:rPr>
            <w:t xml:space="preserve"> ΤΡΙΜΗΝΟΥ 202</w:t>
          </w:r>
          <w:r w:rsidR="00D513CE" w:rsidRPr="001853D9">
            <w:rPr>
              <w:rFonts w:asciiTheme="majorHAnsi" w:eastAsia="Times New Roman" w:hAnsiTheme="majorHAnsi" w:cstheme="majorHAnsi"/>
              <w:b/>
              <w:color w:val="1F3864" w:themeColor="accent1" w:themeShade="80"/>
              <w:sz w:val="72"/>
              <w:szCs w:val="72"/>
              <w:lang w:eastAsia="ja-JP"/>
            </w:rPr>
            <w:t>1</w:t>
          </w:r>
        </w:p>
        <w:p w14:paraId="571B5119" w14:textId="1E611869" w:rsidR="0065238F" w:rsidRPr="001853D9" w:rsidRDefault="0034064E" w:rsidP="005A6A28">
          <w:pPr>
            <w:spacing w:after="0" w:line="276" w:lineRule="auto"/>
            <w:rPr>
              <w:rFonts w:asciiTheme="majorHAnsi" w:eastAsia="Times New Roman" w:hAnsiTheme="majorHAnsi" w:cstheme="majorHAnsi"/>
              <w:sz w:val="72"/>
              <w:szCs w:val="72"/>
              <w:lang w:eastAsia="ja-JP"/>
            </w:rPr>
          </w:pPr>
          <w:r>
            <w:rPr>
              <w:rFonts w:asciiTheme="majorHAnsi" w:eastAsia="Times New Roman" w:hAnsiTheme="majorHAnsi" w:cstheme="majorHAnsi"/>
              <w:noProof/>
              <w:lang w:val="en-US"/>
            </w:rPr>
            <mc:AlternateContent>
              <mc:Choice Requires="wps">
                <w:drawing>
                  <wp:anchor distT="0" distB="0" distL="114300" distR="114300" simplePos="0" relativeHeight="251671040" behindDoc="0" locked="0" layoutInCell="0" allowOverlap="1" wp14:anchorId="7EA7626B" wp14:editId="73BFC122">
                    <wp:simplePos x="0" y="0"/>
                    <wp:positionH relativeFrom="leftMargin">
                      <wp:align>center</wp:align>
                    </wp:positionH>
                    <wp:positionV relativeFrom="page">
                      <wp:align>center</wp:align>
                    </wp:positionV>
                    <wp:extent cx="90805" cy="11203940"/>
                    <wp:effectExtent l="0" t="0" r="4445" b="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chemeClr val="accent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238748D" id="Rectangle 5" o:spid="_x0000_s1026" style="position:absolute;margin-left:0;margin-top:0;width:7.15pt;height:882.2pt;z-index:25167104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" o:allowincell="f" strokecolor="#1f3763 [1604]">
                    <w10:wrap anchorx="margin" anchory="page"/>
                  </v:rect>
                </w:pict>
              </mc:Fallback>
            </mc:AlternateContent>
          </w:r>
          <w:r>
            <w:rPr>
              <w:rFonts w:asciiTheme="majorHAnsi" w:eastAsia="Times New Roman" w:hAnsiTheme="majorHAnsi" w:cstheme="majorHAnsi"/>
              <w:noProof/>
              <w:lang w:val="en-US"/>
            </w:rPr>
            <mc:AlternateContent>
              <mc:Choice Requires="wps">
                <w:drawing>
                  <wp:anchor distT="0" distB="0" distL="114300" distR="114300" simplePos="0" relativeHeight="251670016" behindDoc="0" locked="0" layoutInCell="0" allowOverlap="1" wp14:anchorId="76778F37" wp14:editId="29E16A12">
                    <wp:simplePos x="0" y="0"/>
                    <wp:positionH relativeFrom="rightMargin">
                      <wp:align>center</wp:align>
                    </wp:positionH>
                    <wp:positionV relativeFrom="margin">
                      <wp:align>center</wp:align>
                    </wp:positionV>
                    <wp:extent cx="90805" cy="11204575"/>
                    <wp:effectExtent l="0" t="0" r="4445"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chemeClr val="accent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79DCDF3" id="Rectangle 4" o:spid="_x0000_s1026" style="position:absolute;margin-left:0;margin-top:0;width:7.15pt;height:882.25pt;z-index:25167001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margin;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" o:allowincell="f" strokecolor="#1f3763 [1604]">
                    <w10:wrap anchorx="margin" anchory="margin"/>
                  </v:rect>
                </w:pict>
              </mc:Fallback>
            </mc:AlternateContent>
          </w:r>
        </w:p>
        <w:p w14:paraId="4E03179B" w14:textId="77777777" w:rsidR="0065238F" w:rsidRPr="001853D9" w:rsidRDefault="0065238F" w:rsidP="005A6A28">
          <w:pPr>
            <w:spacing w:line="276" w:lineRule="auto"/>
            <w:rPr>
              <w:rFonts w:asciiTheme="majorHAnsi" w:eastAsia="Calibri" w:hAnsiTheme="majorHAnsi" w:cstheme="majorHAnsi"/>
              <w:color w:val="595959"/>
            </w:rPr>
          </w:pPr>
        </w:p>
        <w:p w14:paraId="67AD61E2" w14:textId="77777777" w:rsidR="0065238F" w:rsidRPr="001853D9" w:rsidRDefault="0065238F" w:rsidP="005A6A28">
          <w:pPr>
            <w:spacing w:after="0" w:line="276" w:lineRule="auto"/>
            <w:rPr>
              <w:rFonts w:asciiTheme="majorHAnsi" w:eastAsia="Times New Roman" w:hAnsiTheme="majorHAnsi" w:cstheme="majorHAnsi"/>
              <w:color w:val="595959"/>
              <w:sz w:val="72"/>
              <w:szCs w:val="72"/>
              <w:lang w:eastAsia="ja-JP"/>
            </w:rPr>
          </w:pPr>
        </w:p>
        <w:p w14:paraId="01910D5F" w14:textId="77777777" w:rsidR="0065238F" w:rsidRPr="001853D9" w:rsidRDefault="0065238F" w:rsidP="005A6A28">
          <w:pPr>
            <w:spacing w:line="276" w:lineRule="auto"/>
            <w:rPr>
              <w:rFonts w:asciiTheme="majorHAnsi" w:eastAsia="Calibri" w:hAnsiTheme="majorHAnsi" w:cstheme="majorHAnsi"/>
            </w:rPr>
          </w:pPr>
        </w:p>
        <w:p w14:paraId="34BAA910" w14:textId="77777777" w:rsidR="0065238F" w:rsidRPr="001853D9" w:rsidRDefault="0065238F" w:rsidP="005A6A28">
          <w:pPr>
            <w:spacing w:line="276" w:lineRule="auto"/>
            <w:rPr>
              <w:rFonts w:asciiTheme="majorHAnsi" w:eastAsia="Calibri" w:hAnsiTheme="majorHAnsi" w:cstheme="majorHAnsi"/>
            </w:rPr>
          </w:pPr>
        </w:p>
        <w:p w14:paraId="77F4A373" w14:textId="77777777" w:rsidR="0065238F" w:rsidRPr="001853D9" w:rsidRDefault="0065238F" w:rsidP="005A6A28">
          <w:pPr>
            <w:spacing w:line="276" w:lineRule="auto"/>
            <w:jc w:val="center"/>
            <w:rPr>
              <w:rFonts w:asciiTheme="majorHAnsi" w:eastAsia="Calibri" w:hAnsiTheme="majorHAnsi" w:cstheme="majorHAnsi"/>
            </w:rPr>
          </w:pPr>
        </w:p>
        <w:p w14:paraId="7F2F79E8" w14:textId="77777777" w:rsidR="0065238F" w:rsidRPr="001853D9" w:rsidRDefault="0065238F" w:rsidP="005A6A28">
          <w:pPr>
            <w:spacing w:line="276" w:lineRule="auto"/>
            <w:rPr>
              <w:rFonts w:asciiTheme="majorHAnsi" w:eastAsia="Calibri" w:hAnsiTheme="majorHAnsi" w:cstheme="majorHAnsi"/>
            </w:rPr>
          </w:pPr>
        </w:p>
        <w:p w14:paraId="5B64BCEE" w14:textId="77777777" w:rsidR="0065238F" w:rsidRPr="001853D9" w:rsidRDefault="0065238F" w:rsidP="005A6A28">
          <w:pPr>
            <w:spacing w:line="276" w:lineRule="auto"/>
            <w:rPr>
              <w:rFonts w:asciiTheme="majorHAnsi" w:eastAsia="Calibri" w:hAnsiTheme="majorHAnsi" w:cstheme="majorHAnsi"/>
            </w:rPr>
          </w:pPr>
        </w:p>
        <w:p w14:paraId="42B0D5D8" w14:textId="77777777" w:rsidR="0065238F" w:rsidRPr="001853D9" w:rsidRDefault="0065238F" w:rsidP="005A6A28">
          <w:pPr>
            <w:spacing w:line="276" w:lineRule="auto"/>
            <w:rPr>
              <w:rFonts w:asciiTheme="majorHAnsi" w:eastAsia="Calibri" w:hAnsiTheme="majorHAnsi" w:cstheme="majorHAnsi"/>
            </w:rPr>
          </w:pPr>
        </w:p>
        <w:p w14:paraId="1508A214" w14:textId="77777777" w:rsidR="0065238F" w:rsidRPr="001853D9" w:rsidRDefault="0065238F" w:rsidP="005A6A28">
          <w:pPr>
            <w:spacing w:line="276" w:lineRule="auto"/>
            <w:rPr>
              <w:rFonts w:asciiTheme="majorHAnsi" w:eastAsia="Calibri" w:hAnsiTheme="majorHAnsi" w:cstheme="majorHAnsi"/>
            </w:rPr>
          </w:pPr>
        </w:p>
        <w:p w14:paraId="073E8E3E" w14:textId="77777777" w:rsidR="0065238F" w:rsidRPr="001853D9" w:rsidRDefault="00427B6D" w:rsidP="005A6A28">
          <w:pPr>
            <w:spacing w:line="276" w:lineRule="auto"/>
            <w:jc w:val="center"/>
            <w:rPr>
              <w:rFonts w:asciiTheme="majorHAnsi" w:eastAsia="Calibri" w:hAnsiTheme="majorHAnsi" w:cstheme="majorHAnsi"/>
              <w:b/>
              <w:color w:val="1F3864" w:themeColor="accent1" w:themeShade="80"/>
              <w:sz w:val="28"/>
              <w:szCs w:val="28"/>
            </w:rPr>
          </w:pPr>
          <w:r w:rsidRPr="001853D9">
            <w:rPr>
              <w:rFonts w:asciiTheme="majorHAnsi" w:eastAsia="Calibri" w:hAnsiTheme="majorHAnsi" w:cstheme="majorHAnsi"/>
              <w:b/>
              <w:color w:val="1F3864" w:themeColor="accent1" w:themeShade="80"/>
              <w:sz w:val="28"/>
              <w:szCs w:val="28"/>
            </w:rPr>
            <w:t xml:space="preserve">ΑΘΗΝΑ, </w:t>
          </w:r>
          <w:r w:rsidR="00A769B4">
            <w:rPr>
              <w:rFonts w:asciiTheme="majorHAnsi" w:eastAsia="Calibri" w:hAnsiTheme="majorHAnsi" w:cstheme="majorHAnsi"/>
              <w:b/>
              <w:color w:val="1F3864" w:themeColor="accent1" w:themeShade="80"/>
              <w:sz w:val="28"/>
              <w:szCs w:val="28"/>
            </w:rPr>
            <w:t>Μάρτιος</w:t>
          </w:r>
          <w:r w:rsidR="001B43DE" w:rsidRPr="001853D9">
            <w:rPr>
              <w:rFonts w:asciiTheme="majorHAnsi" w:eastAsia="Calibri" w:hAnsiTheme="majorHAnsi" w:cstheme="majorHAnsi"/>
              <w:b/>
              <w:color w:val="1F3864" w:themeColor="accent1" w:themeShade="80"/>
              <w:sz w:val="28"/>
              <w:szCs w:val="28"/>
            </w:rPr>
            <w:t xml:space="preserve"> 202</w:t>
          </w:r>
          <w:r w:rsidR="00A769B4">
            <w:rPr>
              <w:rFonts w:asciiTheme="majorHAnsi" w:eastAsia="Calibri" w:hAnsiTheme="majorHAnsi" w:cstheme="majorHAnsi"/>
              <w:b/>
              <w:color w:val="1F3864" w:themeColor="accent1" w:themeShade="80"/>
              <w:sz w:val="28"/>
              <w:szCs w:val="28"/>
            </w:rPr>
            <w:t>2</w:t>
          </w:r>
        </w:p>
        <w:p w14:paraId="05E3A41D" w14:textId="0567315C" w:rsidR="000A3E6D" w:rsidRPr="001853D9" w:rsidRDefault="0034064E" w:rsidP="005A6A28">
          <w:pPr>
            <w:spacing w:line="276" w:lineRule="auto"/>
            <w:jc w:val="center"/>
            <w:rPr>
              <w:rFonts w:asciiTheme="majorHAnsi" w:eastAsia="Calibri" w:hAnsiTheme="majorHAnsi" w:cstheme="majorHAnsi"/>
              <w:b/>
              <w:color w:val="1F3864" w:themeColor="accent1" w:themeShade="80"/>
              <w:sz w:val="28"/>
              <w:szCs w:val="28"/>
            </w:rPr>
            <w:sectPr w:rsidR="000A3E6D" w:rsidRPr="001853D9" w:rsidSect="000A3E6D">
              <w:headerReference w:type="even" r:id="rId10"/>
              <w:headerReference w:type="default" r:id="rId11"/>
              <w:footerReference w:type="even" r:id="rId12"/>
              <w:footerReference w:type="default" r:id="rId13"/>
              <w:pgSz w:w="11906" w:h="16838"/>
              <w:pgMar w:top="1440" w:right="1800" w:bottom="1440" w:left="1800" w:header="708" w:footer="708" w:gutter="0"/>
              <w:pgNumType w:start="0"/>
              <w:cols w:space="708"/>
              <w:titlePg/>
              <w:docGrid w:linePitch="360"/>
            </w:sectPr>
          </w:pPr>
          <w:r>
            <w:rPr>
              <w:rFonts w:asciiTheme="majorHAnsi" w:eastAsia="Times New Roman" w:hAnsiTheme="majorHAnsi" w:cstheme="majorHAnsi"/>
              <w:noProof/>
              <w:lang w:val="en-US"/>
            </w:rPr>
            <mc:AlternateContent>
              <mc:Choice Requires="wps">
                <w:drawing>
                  <wp:anchor distT="0" distB="0" distL="114300" distR="114300" simplePos="0" relativeHeight="251668992" behindDoc="0" locked="0" layoutInCell="0" allowOverlap="1" wp14:anchorId="63BE23FE" wp14:editId="7A0AA4F5">
                    <wp:simplePos x="0" y="0"/>
                    <wp:positionH relativeFrom="page">
                      <wp:align>left</wp:align>
                    </wp:positionH>
                    <wp:positionV relativeFrom="bottomMargin">
                      <wp:align>top</wp:align>
                    </wp:positionV>
                    <wp:extent cx="7920990" cy="806450"/>
                    <wp:effectExtent l="0" t="0" r="571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6450"/>
                            </a:xfrm>
                            <a:prstGeom prst="rect">
                              <a:avLst/>
                            </a:prstGeom>
                            <a:solidFill>
                              <a:schemeClr val="accent1">
                                <a:lumMod val="50000"/>
                              </a:schemeClr>
                            </a:solidFill>
                            <a:ln w="9525">
                              <a:solidFill>
                                <a:srgbClr val="4472C4"/>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1EA6B64" id="Rectangle 2" o:spid="_x0000_s1026" style="position:absolute;margin-left:0;margin-top:0;width:623.7pt;height:63.5pt;z-index:251668992;visibility:visible;mso-wrap-style:square;mso-width-percent:1050;mso-height-percent:900;mso-wrap-distance-left:9pt;mso-wrap-distance-top:0;mso-wrap-distance-right:9pt;mso-wrap-distance-bottom:0;mso-position-horizontal:left;mso-position-horizontal-relative:page;mso-position-vertical:top;mso-position-vertical-relative:bottom-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" o:allowincell="f" fillcolor="#1f3763 [1604]" strokecolor="#4472c4">
                    <w10:wrap anchorx="page" anchory="margin"/>
                  </v:rect>
                </w:pict>
              </mc:Fallback>
            </mc:AlternateContent>
          </w:r>
          <w:hyperlink r:id="rId14" w:history="1">
            <w:r w:rsidR="008B76AD" w:rsidRPr="001853D9">
              <w:rPr>
                <w:rStyle w:val="Hyperlink"/>
                <w:rFonts w:asciiTheme="majorHAnsi" w:eastAsia="Calibri" w:hAnsiTheme="majorHAnsi" w:cstheme="majorHAnsi"/>
                <w:b/>
                <w:color w:val="1F3864" w:themeColor="accent1" w:themeShade="80"/>
                <w:sz w:val="28"/>
                <w:szCs w:val="28"/>
                <w:lang w:val="en-US"/>
              </w:rPr>
              <w:t>www</w:t>
            </w:r>
            <w:r w:rsidR="008B76AD" w:rsidRPr="001853D9">
              <w:rPr>
                <w:rStyle w:val="Hyperlink"/>
                <w:rFonts w:asciiTheme="majorHAnsi" w:eastAsia="Calibri" w:hAnsiTheme="majorHAnsi" w:cstheme="majorHAnsi"/>
                <w:b/>
                <w:color w:val="1F3864" w:themeColor="accent1" w:themeShade="80"/>
                <w:sz w:val="28"/>
                <w:szCs w:val="28"/>
              </w:rPr>
              <w:t>.</w:t>
            </w:r>
            <w:r w:rsidR="008B76AD" w:rsidRPr="001853D9">
              <w:rPr>
                <w:rStyle w:val="Hyperlink"/>
                <w:rFonts w:asciiTheme="majorHAnsi" w:eastAsia="Calibri" w:hAnsiTheme="majorHAnsi" w:cstheme="majorHAnsi"/>
                <w:b/>
                <w:color w:val="1F3864" w:themeColor="accent1" w:themeShade="80"/>
                <w:sz w:val="28"/>
                <w:szCs w:val="28"/>
                <w:lang w:val="en-US"/>
              </w:rPr>
              <w:t>pbo</w:t>
            </w:r>
            <w:r w:rsidR="008B76AD" w:rsidRPr="001853D9">
              <w:rPr>
                <w:rStyle w:val="Hyperlink"/>
                <w:rFonts w:asciiTheme="majorHAnsi" w:eastAsia="Calibri" w:hAnsiTheme="majorHAnsi" w:cstheme="majorHAnsi"/>
                <w:b/>
                <w:color w:val="1F3864" w:themeColor="accent1" w:themeShade="80"/>
                <w:sz w:val="28"/>
                <w:szCs w:val="28"/>
              </w:rPr>
              <w:t>.</w:t>
            </w:r>
            <w:r w:rsidR="008B76AD" w:rsidRPr="001853D9">
              <w:rPr>
                <w:rStyle w:val="Hyperlink"/>
                <w:rFonts w:asciiTheme="majorHAnsi" w:eastAsia="Calibri" w:hAnsiTheme="majorHAnsi" w:cstheme="majorHAnsi"/>
                <w:b/>
                <w:color w:val="1F3864" w:themeColor="accent1" w:themeShade="80"/>
                <w:sz w:val="28"/>
                <w:szCs w:val="28"/>
                <w:lang w:val="en-US"/>
              </w:rPr>
              <w:t>gr</w:t>
            </w:r>
          </w:hyperlink>
          <w:r>
            <w:rPr>
              <w:rFonts w:asciiTheme="majorHAnsi" w:eastAsia="Times New Roman" w:hAnsiTheme="majorHAnsi" w:cstheme="majorHAnsi"/>
              <w:noProof/>
              <w:sz w:val="2"/>
              <w:szCs w:val="2"/>
              <w:lang w:val="en-US"/>
            </w:rPr>
            <mc:AlternateContent>
              <mc:Choice Requires="wps">
                <w:drawing>
                  <wp:anchor distT="0" distB="0" distL="114300" distR="114300" simplePos="0" relativeHeight="251656704" behindDoc="0" locked="0" layoutInCell="0" allowOverlap="1" wp14:anchorId="1077C096" wp14:editId="23AD83E5">
                    <wp:simplePos x="0" y="0"/>
                    <wp:positionH relativeFrom="page">
                      <wp:posOffset>-189230</wp:posOffset>
                    </wp:positionH>
                    <wp:positionV relativeFrom="page">
                      <wp:posOffset>9638030</wp:posOffset>
                    </wp:positionV>
                    <wp:extent cx="7920990" cy="806450"/>
                    <wp:effectExtent l="0" t="0" r="5715" b="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6450"/>
                            </a:xfrm>
                            <a:prstGeom prst="rect">
                              <a:avLst/>
                            </a:prstGeom>
                            <a:solidFill>
                              <a:schemeClr val="bg1"/>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48B8303" id="Rectangle 2" o:spid="_x0000_s1026" style="position:absolute;margin-left:-14.9pt;margin-top:758.9pt;width:623.7pt;height:63.5pt;z-index:25165670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" o:allowincell="f" fillcolor="white [3212]" strokecolor="white [3212]">
                    <w10:wrap anchorx="page" anchory="page"/>
                  </v:rect>
                </w:pict>
              </mc:Fallback>
            </mc:AlternateContent>
          </w:r>
        </w:p>
      </w:sdtContent>
    </w:sdt>
    <w:bookmarkStart w:id="2" w:name="_Toc521435823" w:displacedByCustomXml="prev"/>
    <w:p w14:paraId="091B99DF" w14:textId="77777777" w:rsidR="00C358A4" w:rsidRDefault="000A3E6D" w:rsidP="005A6A28">
      <w:pPr>
        <w:spacing w:line="276" w:lineRule="auto"/>
        <w:jc w:val="both"/>
        <w:rPr>
          <w:rFonts w:asciiTheme="majorHAnsi" w:hAnsiTheme="majorHAnsi" w:cstheme="majorHAnsi"/>
          <w:color w:val="2F5496" w:themeColor="accent1" w:themeShade="BF"/>
          <w:sz w:val="28"/>
          <w:szCs w:val="28"/>
        </w:rPr>
      </w:pPr>
      <w:r w:rsidRPr="001853D9">
        <w:rPr>
          <w:rFonts w:asciiTheme="majorHAnsi" w:hAnsiTheme="majorHAnsi" w:cstheme="majorHAnsi"/>
          <w:color w:val="2F5496" w:themeColor="accent1" w:themeShade="BF"/>
          <w:sz w:val="28"/>
          <w:szCs w:val="28"/>
        </w:rPr>
        <w:lastRenderedPageBreak/>
        <w:br w:type="page"/>
      </w:r>
    </w:p>
    <w:p w14:paraId="02EAAF5F"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00567B33"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10C1030A"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579E40E3"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6D2C1F20"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50B30696"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7F107AFC"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364B153A"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797A1953"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5C2A7B63"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64CC7714"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13012C9C"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2F191731"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709B8751"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19A32A6F"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239FAF7B"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401BBC47"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0312CB49"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030D5AAF"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325C90AB"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2426B73A"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7C4FE65C"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204563C4"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211111EC"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26E95BA9" w14:textId="77777777" w:rsidR="00C358A4" w:rsidRPr="00ED2302" w:rsidRDefault="00C358A4" w:rsidP="005A6A28">
      <w:pPr>
        <w:spacing w:line="276" w:lineRule="auto"/>
        <w:jc w:val="both"/>
        <w:rPr>
          <w:rFonts w:asciiTheme="majorHAnsi" w:hAnsiTheme="majorHAnsi" w:cstheme="majorHAnsi"/>
          <w:color w:val="2F5496" w:themeColor="accent1" w:themeShade="BF"/>
          <w:sz w:val="28"/>
          <w:szCs w:val="28"/>
        </w:rPr>
      </w:pPr>
    </w:p>
    <w:p w14:paraId="616E1C76"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5846D24D"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2FFEC258"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5B7272CC"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50AAEB3A"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480EF838"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0155689F"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449B3AEF"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1230ABE2"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703EBFDC"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3253550E"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41F2D6EC"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1C2BF799"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5DC67695"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21C00F58"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601954F2"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46DCA7AC"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1A195092" w14:textId="77777777" w:rsidR="000412C7" w:rsidRDefault="000412C7" w:rsidP="005A6A28">
      <w:pPr>
        <w:spacing w:line="276" w:lineRule="auto"/>
        <w:jc w:val="both"/>
        <w:rPr>
          <w:rFonts w:asciiTheme="majorHAnsi" w:hAnsiTheme="majorHAnsi" w:cstheme="majorHAnsi"/>
          <w:color w:val="2F5496" w:themeColor="accent1" w:themeShade="BF"/>
          <w:sz w:val="28"/>
          <w:szCs w:val="28"/>
        </w:rPr>
      </w:pPr>
    </w:p>
    <w:p w14:paraId="5834B7C5" w14:textId="77777777" w:rsidR="000412C7" w:rsidRDefault="000412C7" w:rsidP="005A6A28">
      <w:pPr>
        <w:spacing w:line="276" w:lineRule="auto"/>
        <w:jc w:val="both"/>
        <w:rPr>
          <w:rFonts w:asciiTheme="majorHAnsi" w:hAnsiTheme="majorHAnsi" w:cstheme="majorHAnsi"/>
          <w:color w:val="2F5496" w:themeColor="accent1" w:themeShade="BF"/>
          <w:sz w:val="28"/>
          <w:szCs w:val="28"/>
        </w:rPr>
      </w:pPr>
    </w:p>
    <w:p w14:paraId="797AEC63"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7BCB7A69"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48241670"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2B7DB01D" w14:textId="77777777" w:rsidR="00C358A4" w:rsidRDefault="00C358A4" w:rsidP="005A6A28">
      <w:pPr>
        <w:spacing w:line="276" w:lineRule="auto"/>
        <w:jc w:val="both"/>
        <w:rPr>
          <w:rFonts w:asciiTheme="majorHAnsi" w:hAnsiTheme="majorHAnsi" w:cstheme="majorHAnsi"/>
          <w:color w:val="2F5496" w:themeColor="accent1" w:themeShade="BF"/>
          <w:sz w:val="28"/>
          <w:szCs w:val="28"/>
        </w:rPr>
      </w:pPr>
    </w:p>
    <w:p w14:paraId="0FDA11D1" w14:textId="77777777" w:rsidR="00C358A4" w:rsidRPr="001853D9" w:rsidRDefault="00C358A4" w:rsidP="00C358A4">
      <w:pPr>
        <w:spacing w:line="276" w:lineRule="auto"/>
        <w:jc w:val="center"/>
        <w:rPr>
          <w:rFonts w:asciiTheme="majorHAnsi" w:eastAsia="Calibri" w:hAnsiTheme="majorHAnsi" w:cstheme="majorHAnsi"/>
          <w:color w:val="595959"/>
        </w:rPr>
      </w:pPr>
      <w:bookmarkStart w:id="3" w:name="_Hlk90919417"/>
      <w:r w:rsidRPr="001853D9">
        <w:rPr>
          <w:rFonts w:asciiTheme="majorHAnsi" w:eastAsia="Calibri" w:hAnsiTheme="majorHAnsi" w:cstheme="majorHAnsi"/>
          <w:color w:val="595959"/>
        </w:rPr>
        <w:t>[κενή σελίδα]</w:t>
      </w:r>
    </w:p>
    <w:bookmarkEnd w:id="3"/>
    <w:p w14:paraId="3BEA4B21" w14:textId="77777777" w:rsidR="00DF16C7" w:rsidRPr="001853D9" w:rsidRDefault="0065238F" w:rsidP="005A6A28">
      <w:pPr>
        <w:spacing w:line="276" w:lineRule="auto"/>
        <w:jc w:val="both"/>
        <w:rPr>
          <w:rFonts w:asciiTheme="majorHAnsi" w:hAnsiTheme="majorHAnsi" w:cstheme="majorHAnsi"/>
          <w:color w:val="2F5496" w:themeColor="accent1" w:themeShade="BF"/>
          <w:sz w:val="28"/>
          <w:szCs w:val="28"/>
        </w:rPr>
      </w:pPr>
      <w:r w:rsidRPr="001853D9">
        <w:rPr>
          <w:rFonts w:asciiTheme="majorHAnsi" w:hAnsiTheme="majorHAnsi" w:cstheme="majorHAnsi"/>
          <w:color w:val="2F5496" w:themeColor="accent1" w:themeShade="BF"/>
          <w:sz w:val="28"/>
          <w:szCs w:val="28"/>
        </w:rPr>
        <w:lastRenderedPageBreak/>
        <w:t>Πρόλογος</w:t>
      </w:r>
      <w:bookmarkEnd w:id="2"/>
    </w:p>
    <w:p w14:paraId="2651006A" w14:textId="77777777" w:rsidR="00DF16C7" w:rsidRPr="001853D9" w:rsidRDefault="00DF16C7" w:rsidP="005A6A28">
      <w:pPr>
        <w:spacing w:after="0" w:line="276" w:lineRule="auto"/>
        <w:rPr>
          <w:rFonts w:asciiTheme="majorHAnsi" w:eastAsia="Calibri" w:hAnsiTheme="majorHAnsi" w:cstheme="majorHAnsi"/>
          <w:color w:val="595959"/>
        </w:rPr>
      </w:pPr>
    </w:p>
    <w:p w14:paraId="0C89AAAB" w14:textId="77777777" w:rsidR="0065238F" w:rsidRPr="00C0768F" w:rsidRDefault="0065238F" w:rsidP="005A6A28">
      <w:pPr>
        <w:spacing w:line="276" w:lineRule="auto"/>
        <w:jc w:val="both"/>
        <w:rPr>
          <w:rFonts w:eastAsia="Calibri" w:cstheme="majorHAnsi"/>
          <w:color w:val="595959" w:themeColor="text1" w:themeTint="A6"/>
        </w:rPr>
      </w:pPr>
      <w:r w:rsidRPr="00C0768F">
        <w:rPr>
          <w:rFonts w:eastAsia="Calibri" w:cstheme="majorHAnsi"/>
          <w:color w:val="595959" w:themeColor="text1" w:themeTint="A6"/>
        </w:rPr>
        <w:t xml:space="preserve">Η παρούσα έκθεση του Γραφείου Προϋπολογισμού του Κράτους στη Βουλή αφορά το </w:t>
      </w:r>
      <w:r w:rsidR="00A769B4">
        <w:rPr>
          <w:rFonts w:eastAsia="Calibri" w:cstheme="majorHAnsi"/>
          <w:color w:val="595959" w:themeColor="text1" w:themeTint="A6"/>
        </w:rPr>
        <w:t>τέταρτο</w:t>
      </w:r>
      <w:r w:rsidR="009F2C96" w:rsidRPr="00C0768F">
        <w:rPr>
          <w:rFonts w:eastAsia="Calibri" w:cstheme="majorHAnsi"/>
          <w:color w:val="595959" w:themeColor="text1" w:themeTint="A6"/>
        </w:rPr>
        <w:t xml:space="preserve"> </w:t>
      </w:r>
      <w:r w:rsidR="006E215B" w:rsidRPr="00C0768F">
        <w:rPr>
          <w:rFonts w:eastAsia="Calibri" w:cstheme="majorHAnsi"/>
          <w:color w:val="595959" w:themeColor="text1" w:themeTint="A6"/>
        </w:rPr>
        <w:t>τρίμηνο του 202</w:t>
      </w:r>
      <w:r w:rsidR="00345FF2" w:rsidRPr="00C0768F">
        <w:rPr>
          <w:rFonts w:eastAsia="Calibri" w:cstheme="majorHAnsi"/>
          <w:color w:val="595959" w:themeColor="text1" w:themeTint="A6"/>
        </w:rPr>
        <w:t>1</w:t>
      </w:r>
      <w:r w:rsidRPr="00C0768F">
        <w:rPr>
          <w:rFonts w:eastAsia="Calibri" w:cstheme="majorHAnsi"/>
          <w:color w:val="595959" w:themeColor="text1" w:themeTint="A6"/>
        </w:rPr>
        <w:t xml:space="preserve">. </w:t>
      </w:r>
      <w:r w:rsidR="00236714" w:rsidRPr="00C0768F">
        <w:rPr>
          <w:rFonts w:eastAsia="Calibri" w:cstheme="majorHAnsi"/>
          <w:color w:val="595959" w:themeColor="text1" w:themeTint="A6"/>
        </w:rPr>
        <w:t>Για τη σύνταξη</w:t>
      </w:r>
      <w:r w:rsidRPr="00C0768F">
        <w:rPr>
          <w:rFonts w:eastAsia="Calibri" w:cstheme="majorHAnsi"/>
          <w:color w:val="595959" w:themeColor="text1" w:themeTint="A6"/>
        </w:rPr>
        <w:t xml:space="preserve"> της </w:t>
      </w:r>
      <w:r w:rsidR="00236714" w:rsidRPr="00C0768F">
        <w:rPr>
          <w:rFonts w:eastAsia="Calibri" w:cstheme="majorHAnsi"/>
          <w:color w:val="595959" w:themeColor="text1" w:themeTint="A6"/>
        </w:rPr>
        <w:t xml:space="preserve">έκθεσης </w:t>
      </w:r>
      <w:r w:rsidRPr="00C0768F">
        <w:rPr>
          <w:rFonts w:eastAsia="Calibri" w:cstheme="majorHAnsi"/>
          <w:color w:val="595959" w:themeColor="text1" w:themeTint="A6"/>
        </w:rPr>
        <w:t>χρησιμοποιήθηκαν επίσημα δημοσιευμένα στοιχεία στα οποία μπορεί να μεταβεί κανείς μέσω των ηλεκτρονικών συνδέσμων στις υπογραμμισμένες λέξεις του κειμένου</w:t>
      </w:r>
      <w:r w:rsidR="00AE7C6C" w:rsidRPr="00C0768F">
        <w:rPr>
          <w:rFonts w:eastAsia="Calibri" w:cstheme="majorHAnsi"/>
          <w:color w:val="595959" w:themeColor="text1" w:themeTint="A6"/>
        </w:rPr>
        <w:t>,</w:t>
      </w:r>
      <w:r w:rsidR="00FA7C51" w:rsidRPr="00C0768F">
        <w:rPr>
          <w:rFonts w:eastAsia="Calibri" w:cstheme="majorHAnsi"/>
          <w:color w:val="595959" w:themeColor="text1" w:themeTint="A6"/>
        </w:rPr>
        <w:t xml:space="preserve"> </w:t>
      </w:r>
      <w:r w:rsidRPr="00C0768F">
        <w:rPr>
          <w:rFonts w:eastAsia="Calibri" w:cstheme="majorHAnsi"/>
          <w:color w:val="595959" w:themeColor="text1" w:themeTint="A6"/>
        </w:rPr>
        <w:t xml:space="preserve">αλλά και μη δημοσιευμένα στοιχεία που παρασχέθηκαν από τις αρμόδιες υπηρεσίες. </w:t>
      </w:r>
    </w:p>
    <w:p w14:paraId="18651287" w14:textId="77777777" w:rsidR="0065238F" w:rsidRPr="00C0768F" w:rsidRDefault="006237A4" w:rsidP="005A6A28">
      <w:pPr>
        <w:spacing w:line="276" w:lineRule="auto"/>
        <w:jc w:val="both"/>
        <w:rPr>
          <w:rFonts w:eastAsia="Calibri" w:cstheme="majorHAnsi"/>
          <w:color w:val="595959" w:themeColor="text1" w:themeTint="A6"/>
        </w:rPr>
      </w:pPr>
      <w:r w:rsidRPr="00C0768F">
        <w:rPr>
          <w:rFonts w:eastAsia="Calibri" w:cstheme="majorHAnsi"/>
          <w:color w:val="595959" w:themeColor="text1" w:themeTint="A6"/>
        </w:rPr>
        <w:t>Ευχαριστούμε το Υπουργείο Οικονομικών (ιδιαίτερα το ΓΛΚ και τον ΟΔΔΗΧ)</w:t>
      </w:r>
      <w:r w:rsidR="001C4048" w:rsidRPr="00C0768F">
        <w:rPr>
          <w:rFonts w:eastAsia="Calibri" w:cstheme="majorHAnsi"/>
          <w:color w:val="595959" w:themeColor="text1" w:themeTint="A6"/>
        </w:rPr>
        <w:t>, το Υπουργείο Εργασίας</w:t>
      </w:r>
      <w:r w:rsidR="007E1D86" w:rsidRPr="00C0768F">
        <w:rPr>
          <w:rFonts w:eastAsia="Calibri" w:cstheme="majorHAnsi"/>
          <w:color w:val="595959" w:themeColor="text1" w:themeTint="A6"/>
        </w:rPr>
        <w:t xml:space="preserve"> </w:t>
      </w:r>
      <w:r w:rsidR="00092A1E" w:rsidRPr="00C0768F">
        <w:rPr>
          <w:rFonts w:eastAsia="Calibri" w:cstheme="majorHAnsi"/>
          <w:color w:val="595959" w:themeColor="text1" w:themeTint="A6"/>
        </w:rPr>
        <w:t xml:space="preserve">(ιδιαίτερα τις οικονομικές υπηρεσίες, </w:t>
      </w:r>
      <w:r w:rsidR="00DC0B72" w:rsidRPr="00C0768F">
        <w:rPr>
          <w:rFonts w:eastAsia="Calibri" w:cstheme="majorHAnsi"/>
          <w:color w:val="595959" w:themeColor="text1" w:themeTint="A6"/>
        </w:rPr>
        <w:t xml:space="preserve">τον </w:t>
      </w:r>
      <w:r w:rsidR="006D02F4" w:rsidRPr="00C0768F">
        <w:rPr>
          <w:rFonts w:eastAsia="Calibri" w:cstheme="majorHAnsi"/>
          <w:color w:val="595959" w:themeColor="text1" w:themeTint="A6"/>
          <w:lang w:val="en-US"/>
        </w:rPr>
        <w:t>e</w:t>
      </w:r>
      <w:r w:rsidR="006D02F4" w:rsidRPr="00C0768F">
        <w:rPr>
          <w:rFonts w:eastAsia="Calibri" w:cstheme="majorHAnsi"/>
          <w:color w:val="595959" w:themeColor="text1" w:themeTint="A6"/>
        </w:rPr>
        <w:t>-</w:t>
      </w:r>
      <w:r w:rsidR="00DC0B72" w:rsidRPr="00C0768F">
        <w:rPr>
          <w:rFonts w:eastAsia="Calibri" w:cstheme="majorHAnsi"/>
          <w:color w:val="595959" w:themeColor="text1" w:themeTint="A6"/>
        </w:rPr>
        <w:t xml:space="preserve">ΕΦΚΑ, </w:t>
      </w:r>
      <w:r w:rsidR="00092A1E" w:rsidRPr="00C0768F">
        <w:rPr>
          <w:rFonts w:eastAsia="Calibri" w:cstheme="majorHAnsi"/>
          <w:color w:val="595959" w:themeColor="text1" w:themeTint="A6"/>
        </w:rPr>
        <w:t xml:space="preserve">το ΚΕΑΟ και τον ΟΠΕΚΑ) </w:t>
      </w:r>
      <w:r w:rsidRPr="00C0768F">
        <w:rPr>
          <w:rFonts w:eastAsia="Calibri" w:cstheme="majorHAnsi"/>
          <w:color w:val="595959" w:themeColor="text1" w:themeTint="A6"/>
        </w:rPr>
        <w:t>και την ΑΑΔΕ</w:t>
      </w:r>
      <w:r w:rsidR="00421EB6" w:rsidRPr="00C0768F">
        <w:rPr>
          <w:rFonts w:eastAsia="Calibri" w:cstheme="majorHAnsi"/>
          <w:color w:val="595959" w:themeColor="text1" w:themeTint="A6"/>
        </w:rPr>
        <w:t xml:space="preserve"> </w:t>
      </w:r>
      <w:r w:rsidRPr="00C0768F">
        <w:rPr>
          <w:rFonts w:eastAsia="Calibri" w:cstheme="majorHAnsi"/>
          <w:color w:val="595959" w:themeColor="text1" w:themeTint="A6"/>
        </w:rPr>
        <w:t>για την παροχή πρόσθετων στοιχείων και διευκρινίσεων.</w:t>
      </w:r>
      <w:r w:rsidR="007C46A5" w:rsidRPr="00C0768F">
        <w:rPr>
          <w:rFonts w:eastAsia="Calibri" w:cstheme="majorHAnsi"/>
          <w:color w:val="595959" w:themeColor="text1" w:themeTint="A6"/>
        </w:rPr>
        <w:t xml:space="preserve"> </w:t>
      </w:r>
      <w:r w:rsidRPr="00C0768F">
        <w:rPr>
          <w:rFonts w:eastAsia="Calibri" w:cstheme="majorHAnsi"/>
          <w:color w:val="595959" w:themeColor="text1" w:themeTint="A6"/>
        </w:rPr>
        <w:t>Ενδεχόμενα λάθη και παραλείψεις είναι αποκλειστική ευθύνη του Γραφείου Προϋπολογισμού του Κράτους στη Βουλή.</w:t>
      </w:r>
    </w:p>
    <w:p w14:paraId="7884858E" w14:textId="77777777" w:rsidR="0065238F" w:rsidRPr="00C0768F" w:rsidRDefault="0065238F" w:rsidP="005A6A28">
      <w:pPr>
        <w:spacing w:line="276" w:lineRule="auto"/>
        <w:jc w:val="both"/>
        <w:rPr>
          <w:rFonts w:eastAsia="Calibri" w:cstheme="majorHAnsi"/>
          <w:color w:val="595959" w:themeColor="text1" w:themeTint="A6"/>
        </w:rPr>
      </w:pPr>
    </w:p>
    <w:p w14:paraId="0F04817D" w14:textId="77777777" w:rsidR="001C4048" w:rsidRPr="00C0768F" w:rsidRDefault="001C4048" w:rsidP="005A6A28">
      <w:pPr>
        <w:spacing w:line="276" w:lineRule="auto"/>
        <w:jc w:val="both"/>
        <w:rPr>
          <w:rFonts w:eastAsia="Calibri" w:cstheme="majorHAnsi"/>
          <w:color w:val="595959" w:themeColor="text1" w:themeTint="A6"/>
        </w:rPr>
      </w:pPr>
    </w:p>
    <w:p w14:paraId="3AE85747" w14:textId="77777777" w:rsidR="00DF16C7" w:rsidRPr="00C0768F" w:rsidRDefault="0065238F" w:rsidP="005A6A28">
      <w:pPr>
        <w:spacing w:line="276" w:lineRule="auto"/>
        <w:ind w:left="5529"/>
        <w:jc w:val="center"/>
        <w:rPr>
          <w:rFonts w:eastAsia="Calibri" w:cstheme="majorHAnsi"/>
          <w:color w:val="595959" w:themeColor="text1" w:themeTint="A6"/>
        </w:rPr>
      </w:pPr>
      <w:r w:rsidRPr="00C0768F">
        <w:rPr>
          <w:rFonts w:eastAsia="Calibri" w:cstheme="majorHAnsi"/>
          <w:color w:val="595959" w:themeColor="text1" w:themeTint="A6"/>
        </w:rPr>
        <w:t>Η Επιστημονική Επιτροπή:</w:t>
      </w:r>
    </w:p>
    <w:p w14:paraId="7E69017A" w14:textId="77777777" w:rsidR="00DF16C7" w:rsidRPr="00C0768F" w:rsidRDefault="0065238F" w:rsidP="005A6A28">
      <w:pPr>
        <w:spacing w:line="276" w:lineRule="auto"/>
        <w:ind w:left="5529"/>
        <w:jc w:val="center"/>
        <w:rPr>
          <w:rFonts w:eastAsia="Calibri" w:cstheme="majorHAnsi"/>
          <w:color w:val="595959" w:themeColor="text1" w:themeTint="A6"/>
        </w:rPr>
      </w:pPr>
      <w:r w:rsidRPr="00C0768F">
        <w:rPr>
          <w:rFonts w:eastAsia="Calibri" w:cstheme="majorHAnsi"/>
          <w:color w:val="595959" w:themeColor="text1" w:themeTint="A6"/>
        </w:rPr>
        <w:t>Άγγελος Κανάς</w:t>
      </w:r>
    </w:p>
    <w:p w14:paraId="1D6A987D" w14:textId="77777777" w:rsidR="00DF16C7" w:rsidRPr="00C0768F" w:rsidRDefault="0065238F" w:rsidP="005A6A28">
      <w:pPr>
        <w:spacing w:line="276" w:lineRule="auto"/>
        <w:ind w:left="5529"/>
        <w:jc w:val="center"/>
        <w:rPr>
          <w:rFonts w:eastAsia="Calibri" w:cstheme="majorHAnsi"/>
          <w:color w:val="595959" w:themeColor="text1" w:themeTint="A6"/>
        </w:rPr>
      </w:pPr>
      <w:r w:rsidRPr="00C0768F">
        <w:rPr>
          <w:rFonts w:eastAsia="Calibri" w:cstheme="majorHAnsi"/>
          <w:color w:val="595959" w:themeColor="text1" w:themeTint="A6"/>
        </w:rPr>
        <w:t>Παναγιώτης Κωνσταντίνου</w:t>
      </w:r>
    </w:p>
    <w:p w14:paraId="1D68ADEE" w14:textId="77777777" w:rsidR="00DF16C7" w:rsidRPr="00C0768F" w:rsidRDefault="0065238F" w:rsidP="005A6A28">
      <w:pPr>
        <w:spacing w:line="276" w:lineRule="auto"/>
        <w:ind w:left="5529"/>
        <w:jc w:val="center"/>
        <w:rPr>
          <w:rFonts w:eastAsia="Calibri" w:cstheme="majorHAnsi"/>
          <w:color w:val="595959" w:themeColor="text1" w:themeTint="A6"/>
        </w:rPr>
      </w:pPr>
      <w:r w:rsidRPr="00C0768F">
        <w:rPr>
          <w:rFonts w:eastAsia="Calibri" w:cstheme="majorHAnsi"/>
          <w:color w:val="595959" w:themeColor="text1" w:themeTint="A6"/>
        </w:rPr>
        <w:t>Ναπολέων Μαραβέγιας</w:t>
      </w:r>
    </w:p>
    <w:p w14:paraId="53E557FB" w14:textId="77777777" w:rsidR="00DF16C7" w:rsidRPr="00C0768F" w:rsidRDefault="0065238F" w:rsidP="005A6A28">
      <w:pPr>
        <w:spacing w:line="276" w:lineRule="auto"/>
        <w:ind w:left="5529"/>
        <w:jc w:val="center"/>
        <w:rPr>
          <w:rFonts w:eastAsia="Calibri" w:cstheme="majorHAnsi"/>
          <w:color w:val="595959" w:themeColor="text1" w:themeTint="A6"/>
        </w:rPr>
      </w:pPr>
      <w:r w:rsidRPr="00C0768F">
        <w:rPr>
          <w:rFonts w:eastAsia="Calibri" w:cstheme="majorHAnsi"/>
          <w:color w:val="595959" w:themeColor="text1" w:themeTint="A6"/>
        </w:rPr>
        <w:t>Αθανάσιος Ταγκαλάκης</w:t>
      </w:r>
    </w:p>
    <w:p w14:paraId="206D0DD4" w14:textId="77777777" w:rsidR="00DF16C7" w:rsidRPr="00C0768F" w:rsidRDefault="00DF16C7" w:rsidP="005A6A28">
      <w:pPr>
        <w:spacing w:after="0" w:line="276" w:lineRule="auto"/>
        <w:ind w:left="5529"/>
        <w:jc w:val="center"/>
        <w:rPr>
          <w:rFonts w:eastAsia="Calibri" w:cstheme="majorHAnsi"/>
          <w:color w:val="595959" w:themeColor="text1" w:themeTint="A6"/>
        </w:rPr>
      </w:pPr>
    </w:p>
    <w:p w14:paraId="12B84919" w14:textId="77777777" w:rsidR="00DF16C7" w:rsidRPr="00C0768F" w:rsidRDefault="0065238F" w:rsidP="005A6A28">
      <w:pPr>
        <w:spacing w:line="276" w:lineRule="auto"/>
        <w:ind w:left="5529"/>
        <w:jc w:val="center"/>
        <w:rPr>
          <w:rFonts w:eastAsia="Calibri" w:cstheme="majorHAnsi"/>
          <w:color w:val="595959" w:themeColor="text1" w:themeTint="A6"/>
        </w:rPr>
      </w:pPr>
      <w:r w:rsidRPr="00C0768F">
        <w:rPr>
          <w:rFonts w:eastAsia="Calibri" w:cstheme="majorHAnsi"/>
          <w:color w:val="595959" w:themeColor="text1" w:themeTint="A6"/>
        </w:rPr>
        <w:t>Ο Συντονιστής:</w:t>
      </w:r>
    </w:p>
    <w:p w14:paraId="42D8F7B5" w14:textId="77777777" w:rsidR="00DF16C7" w:rsidRPr="001853D9" w:rsidRDefault="0065238F" w:rsidP="005A6A28">
      <w:pPr>
        <w:spacing w:line="276" w:lineRule="auto"/>
        <w:ind w:left="5529"/>
        <w:jc w:val="center"/>
        <w:rPr>
          <w:rFonts w:asciiTheme="majorHAnsi" w:eastAsia="Calibri" w:hAnsiTheme="majorHAnsi" w:cstheme="majorHAnsi"/>
          <w:color w:val="595959" w:themeColor="text1" w:themeTint="A6"/>
        </w:rPr>
      </w:pPr>
      <w:r w:rsidRPr="00C0768F">
        <w:rPr>
          <w:rFonts w:eastAsia="Calibri" w:cstheme="majorHAnsi"/>
          <w:color w:val="595959" w:themeColor="text1" w:themeTint="A6"/>
        </w:rPr>
        <w:t>Φραγκίσκος Κουτεντάκης</w:t>
      </w:r>
    </w:p>
    <w:p w14:paraId="18A3BA5D" w14:textId="77777777" w:rsidR="00FE5EE1" w:rsidRPr="001853D9" w:rsidRDefault="0065238F" w:rsidP="005A6A28">
      <w:pPr>
        <w:spacing w:line="276" w:lineRule="auto"/>
        <w:rPr>
          <w:rFonts w:asciiTheme="majorHAnsi" w:eastAsia="Calibri" w:hAnsiTheme="majorHAnsi" w:cstheme="majorHAnsi"/>
          <w:b/>
          <w:color w:val="595959"/>
        </w:rPr>
      </w:pPr>
      <w:r w:rsidRPr="001853D9">
        <w:rPr>
          <w:rFonts w:asciiTheme="majorHAnsi" w:eastAsia="Calibri" w:hAnsiTheme="majorHAnsi" w:cstheme="majorHAnsi"/>
          <w:b/>
          <w:color w:val="595959"/>
        </w:rPr>
        <w:br w:type="page"/>
      </w:r>
    </w:p>
    <w:p w14:paraId="5C3152EE" w14:textId="77777777" w:rsidR="00FE5EE1" w:rsidRPr="001853D9" w:rsidRDefault="00FE5EE1" w:rsidP="005A6A28">
      <w:pPr>
        <w:spacing w:line="276" w:lineRule="auto"/>
        <w:rPr>
          <w:rFonts w:asciiTheme="majorHAnsi" w:eastAsia="Calibri" w:hAnsiTheme="majorHAnsi" w:cstheme="majorHAnsi"/>
          <w:b/>
          <w:color w:val="595959"/>
        </w:rPr>
      </w:pPr>
    </w:p>
    <w:p w14:paraId="6B4769CC" w14:textId="77777777" w:rsidR="00FE5EE1" w:rsidRPr="001853D9" w:rsidRDefault="00FE5EE1" w:rsidP="005A6A28">
      <w:pPr>
        <w:spacing w:line="276" w:lineRule="auto"/>
        <w:rPr>
          <w:rFonts w:asciiTheme="majorHAnsi" w:eastAsia="Calibri" w:hAnsiTheme="majorHAnsi" w:cstheme="majorHAnsi"/>
          <w:b/>
          <w:color w:val="595959"/>
        </w:rPr>
      </w:pPr>
    </w:p>
    <w:p w14:paraId="2DB2A22F" w14:textId="77777777" w:rsidR="00FE5EE1" w:rsidRPr="001853D9" w:rsidRDefault="00FE5EE1" w:rsidP="005A6A28">
      <w:pPr>
        <w:spacing w:line="276" w:lineRule="auto"/>
        <w:rPr>
          <w:rFonts w:asciiTheme="majorHAnsi" w:eastAsia="Calibri" w:hAnsiTheme="majorHAnsi" w:cstheme="majorHAnsi"/>
          <w:b/>
          <w:color w:val="595959"/>
        </w:rPr>
      </w:pPr>
    </w:p>
    <w:p w14:paraId="3904AE48" w14:textId="77777777" w:rsidR="00FE5EE1" w:rsidRPr="001853D9" w:rsidRDefault="00FE5EE1" w:rsidP="005A6A28">
      <w:pPr>
        <w:spacing w:line="276" w:lineRule="auto"/>
        <w:rPr>
          <w:rFonts w:asciiTheme="majorHAnsi" w:eastAsia="Calibri" w:hAnsiTheme="majorHAnsi" w:cstheme="majorHAnsi"/>
          <w:b/>
          <w:color w:val="595959"/>
        </w:rPr>
      </w:pPr>
    </w:p>
    <w:p w14:paraId="039EC565" w14:textId="77777777" w:rsidR="00FE5EE1" w:rsidRPr="001853D9" w:rsidRDefault="00FE5EE1" w:rsidP="005A6A28">
      <w:pPr>
        <w:spacing w:line="276" w:lineRule="auto"/>
        <w:rPr>
          <w:rFonts w:asciiTheme="majorHAnsi" w:eastAsia="Calibri" w:hAnsiTheme="majorHAnsi" w:cstheme="majorHAnsi"/>
          <w:b/>
          <w:color w:val="595959"/>
        </w:rPr>
      </w:pPr>
    </w:p>
    <w:p w14:paraId="7D0760DF" w14:textId="77777777" w:rsidR="00FE5EE1" w:rsidRPr="001853D9" w:rsidRDefault="00FE5EE1" w:rsidP="005A6A28">
      <w:pPr>
        <w:spacing w:line="276" w:lineRule="auto"/>
        <w:rPr>
          <w:rFonts w:asciiTheme="majorHAnsi" w:eastAsia="Calibri" w:hAnsiTheme="majorHAnsi" w:cstheme="majorHAnsi"/>
          <w:b/>
          <w:color w:val="595959"/>
        </w:rPr>
      </w:pPr>
    </w:p>
    <w:p w14:paraId="1F1C3929" w14:textId="77777777" w:rsidR="00FE5EE1" w:rsidRPr="001853D9" w:rsidRDefault="00FE5EE1" w:rsidP="005A6A28">
      <w:pPr>
        <w:spacing w:line="276" w:lineRule="auto"/>
        <w:rPr>
          <w:rFonts w:asciiTheme="majorHAnsi" w:eastAsia="Calibri" w:hAnsiTheme="majorHAnsi" w:cstheme="majorHAnsi"/>
          <w:b/>
          <w:color w:val="595959"/>
        </w:rPr>
      </w:pPr>
    </w:p>
    <w:p w14:paraId="18C98DF9" w14:textId="77777777" w:rsidR="00FE5EE1" w:rsidRPr="001853D9" w:rsidRDefault="00FE5EE1" w:rsidP="005A6A28">
      <w:pPr>
        <w:spacing w:line="276" w:lineRule="auto"/>
        <w:rPr>
          <w:rFonts w:asciiTheme="majorHAnsi" w:eastAsia="Calibri" w:hAnsiTheme="majorHAnsi" w:cstheme="majorHAnsi"/>
          <w:b/>
          <w:color w:val="595959"/>
        </w:rPr>
      </w:pPr>
    </w:p>
    <w:p w14:paraId="07584627" w14:textId="77777777" w:rsidR="00FE5EE1" w:rsidRPr="001853D9" w:rsidRDefault="00FE5EE1" w:rsidP="005A6A28">
      <w:pPr>
        <w:spacing w:line="276" w:lineRule="auto"/>
        <w:rPr>
          <w:rFonts w:asciiTheme="majorHAnsi" w:eastAsia="Calibri" w:hAnsiTheme="majorHAnsi" w:cstheme="majorHAnsi"/>
          <w:b/>
          <w:color w:val="595959"/>
        </w:rPr>
      </w:pPr>
    </w:p>
    <w:p w14:paraId="6087FE96" w14:textId="77777777" w:rsidR="00FE5EE1" w:rsidRPr="001853D9" w:rsidRDefault="00FE5EE1" w:rsidP="005A6A28">
      <w:pPr>
        <w:spacing w:line="276" w:lineRule="auto"/>
        <w:rPr>
          <w:rFonts w:asciiTheme="majorHAnsi" w:eastAsia="Calibri" w:hAnsiTheme="majorHAnsi" w:cstheme="majorHAnsi"/>
          <w:b/>
          <w:color w:val="595959"/>
        </w:rPr>
      </w:pPr>
    </w:p>
    <w:p w14:paraId="5C3EB814" w14:textId="77777777" w:rsidR="00FE5EE1" w:rsidRPr="001853D9" w:rsidRDefault="00FE5EE1" w:rsidP="005A6A28">
      <w:pPr>
        <w:spacing w:line="276" w:lineRule="auto"/>
        <w:rPr>
          <w:rFonts w:asciiTheme="majorHAnsi" w:eastAsia="Calibri" w:hAnsiTheme="majorHAnsi" w:cstheme="majorHAnsi"/>
          <w:b/>
          <w:color w:val="595959"/>
        </w:rPr>
      </w:pPr>
    </w:p>
    <w:p w14:paraId="6D28AD35" w14:textId="77777777" w:rsidR="00FE5EE1" w:rsidRPr="001853D9" w:rsidRDefault="00FE5EE1" w:rsidP="005A6A28">
      <w:pPr>
        <w:spacing w:line="276" w:lineRule="auto"/>
        <w:rPr>
          <w:rFonts w:asciiTheme="majorHAnsi" w:eastAsia="Calibri" w:hAnsiTheme="majorHAnsi" w:cstheme="majorHAnsi"/>
          <w:b/>
          <w:color w:val="595959"/>
        </w:rPr>
      </w:pPr>
    </w:p>
    <w:p w14:paraId="4C89B134" w14:textId="77777777" w:rsidR="00FE5EE1" w:rsidRPr="001853D9" w:rsidRDefault="00FE5EE1" w:rsidP="005A6A28">
      <w:pPr>
        <w:spacing w:line="276" w:lineRule="auto"/>
        <w:rPr>
          <w:rFonts w:asciiTheme="majorHAnsi" w:eastAsia="Calibri" w:hAnsiTheme="majorHAnsi" w:cstheme="majorHAnsi"/>
          <w:b/>
          <w:color w:val="595959"/>
        </w:rPr>
      </w:pPr>
    </w:p>
    <w:p w14:paraId="596007E8" w14:textId="77777777" w:rsidR="00FE5EE1" w:rsidRPr="001853D9" w:rsidRDefault="00FE5EE1" w:rsidP="005A6A28">
      <w:pPr>
        <w:spacing w:line="276" w:lineRule="auto"/>
        <w:rPr>
          <w:rFonts w:asciiTheme="majorHAnsi" w:eastAsia="Calibri" w:hAnsiTheme="majorHAnsi" w:cstheme="majorHAnsi"/>
          <w:b/>
          <w:color w:val="595959"/>
        </w:rPr>
      </w:pPr>
    </w:p>
    <w:p w14:paraId="541C3E53" w14:textId="77777777" w:rsidR="00FE5EE1" w:rsidRPr="001853D9" w:rsidRDefault="00FE5EE1" w:rsidP="005A6A28">
      <w:pPr>
        <w:spacing w:line="276" w:lineRule="auto"/>
        <w:rPr>
          <w:rFonts w:asciiTheme="majorHAnsi" w:eastAsia="Calibri" w:hAnsiTheme="majorHAnsi" w:cstheme="majorHAnsi"/>
          <w:b/>
          <w:color w:val="595959"/>
        </w:rPr>
      </w:pPr>
    </w:p>
    <w:p w14:paraId="5A8FD755" w14:textId="77777777" w:rsidR="00FE5EE1" w:rsidRPr="001853D9" w:rsidRDefault="00FE5EE1" w:rsidP="005A6A28">
      <w:pPr>
        <w:spacing w:line="276" w:lineRule="auto"/>
        <w:rPr>
          <w:rFonts w:asciiTheme="majorHAnsi" w:eastAsia="Calibri" w:hAnsiTheme="majorHAnsi" w:cstheme="majorHAnsi"/>
          <w:b/>
          <w:color w:val="595959"/>
        </w:rPr>
      </w:pPr>
    </w:p>
    <w:p w14:paraId="5B44C845" w14:textId="77777777" w:rsidR="00FE5EE1" w:rsidRPr="001853D9" w:rsidRDefault="00FE5EE1" w:rsidP="005A6A28">
      <w:pPr>
        <w:spacing w:line="276" w:lineRule="auto"/>
        <w:rPr>
          <w:rFonts w:asciiTheme="majorHAnsi" w:eastAsia="Calibri" w:hAnsiTheme="majorHAnsi" w:cstheme="majorHAnsi"/>
          <w:b/>
          <w:color w:val="595959"/>
        </w:rPr>
      </w:pPr>
    </w:p>
    <w:p w14:paraId="78C3EA96" w14:textId="77777777" w:rsidR="00FE5EE1" w:rsidRPr="001853D9" w:rsidRDefault="00FE5EE1" w:rsidP="005A6A28">
      <w:pPr>
        <w:spacing w:line="276" w:lineRule="auto"/>
        <w:rPr>
          <w:rFonts w:asciiTheme="majorHAnsi" w:eastAsia="Calibri" w:hAnsiTheme="majorHAnsi" w:cstheme="majorHAnsi"/>
          <w:b/>
          <w:color w:val="595959"/>
        </w:rPr>
      </w:pPr>
    </w:p>
    <w:p w14:paraId="0F0B6F6F" w14:textId="77777777" w:rsidR="00FE5EE1" w:rsidRPr="001853D9" w:rsidRDefault="00FE5EE1" w:rsidP="005A6A28">
      <w:pPr>
        <w:spacing w:line="276" w:lineRule="auto"/>
        <w:rPr>
          <w:rFonts w:asciiTheme="majorHAnsi" w:eastAsia="Calibri" w:hAnsiTheme="majorHAnsi" w:cstheme="majorHAnsi"/>
          <w:b/>
          <w:color w:val="595959"/>
        </w:rPr>
      </w:pPr>
    </w:p>
    <w:p w14:paraId="44BEC160" w14:textId="77777777" w:rsidR="00FE5EE1" w:rsidRPr="001853D9" w:rsidRDefault="00FE5EE1" w:rsidP="005A6A28">
      <w:pPr>
        <w:spacing w:line="276" w:lineRule="auto"/>
        <w:rPr>
          <w:rFonts w:asciiTheme="majorHAnsi" w:eastAsia="Calibri" w:hAnsiTheme="majorHAnsi" w:cstheme="majorHAnsi"/>
          <w:b/>
          <w:color w:val="595959"/>
        </w:rPr>
      </w:pPr>
    </w:p>
    <w:p w14:paraId="650D67B9" w14:textId="77777777" w:rsidR="00FE5EE1" w:rsidRPr="001853D9" w:rsidRDefault="00FE5EE1" w:rsidP="005A6A28">
      <w:pPr>
        <w:spacing w:line="276" w:lineRule="auto"/>
        <w:rPr>
          <w:rFonts w:asciiTheme="majorHAnsi" w:eastAsia="Calibri" w:hAnsiTheme="majorHAnsi" w:cstheme="majorHAnsi"/>
          <w:b/>
          <w:color w:val="595959"/>
        </w:rPr>
      </w:pPr>
    </w:p>
    <w:p w14:paraId="4E511AF8" w14:textId="77777777" w:rsidR="00FE5EE1" w:rsidRPr="001853D9" w:rsidRDefault="00FE5EE1" w:rsidP="005A6A28">
      <w:pPr>
        <w:spacing w:line="276" w:lineRule="auto"/>
        <w:rPr>
          <w:rFonts w:asciiTheme="majorHAnsi" w:eastAsia="Calibri" w:hAnsiTheme="majorHAnsi" w:cstheme="majorHAnsi"/>
          <w:b/>
          <w:color w:val="595959"/>
        </w:rPr>
      </w:pPr>
    </w:p>
    <w:p w14:paraId="1884721D" w14:textId="77777777" w:rsidR="00FE5EE1" w:rsidRPr="001853D9" w:rsidRDefault="00FE5EE1" w:rsidP="005A6A28">
      <w:pPr>
        <w:spacing w:line="276" w:lineRule="auto"/>
        <w:rPr>
          <w:rFonts w:asciiTheme="majorHAnsi" w:eastAsia="Calibri" w:hAnsiTheme="majorHAnsi" w:cstheme="majorHAnsi"/>
          <w:b/>
          <w:color w:val="595959"/>
        </w:rPr>
      </w:pPr>
    </w:p>
    <w:p w14:paraId="2C1A8A18" w14:textId="77777777" w:rsidR="00FE5EE1" w:rsidRPr="001853D9" w:rsidRDefault="00FE5EE1" w:rsidP="005A6A28">
      <w:pPr>
        <w:spacing w:line="276" w:lineRule="auto"/>
        <w:rPr>
          <w:rFonts w:asciiTheme="majorHAnsi" w:eastAsia="Calibri" w:hAnsiTheme="majorHAnsi" w:cstheme="majorHAnsi"/>
          <w:b/>
          <w:color w:val="595959"/>
        </w:rPr>
      </w:pPr>
    </w:p>
    <w:p w14:paraId="1130801B" w14:textId="77777777" w:rsidR="005532F8" w:rsidRPr="001853D9" w:rsidRDefault="005532F8" w:rsidP="005A6A28">
      <w:pPr>
        <w:spacing w:line="276" w:lineRule="auto"/>
        <w:rPr>
          <w:rFonts w:asciiTheme="majorHAnsi" w:eastAsia="Calibri" w:hAnsiTheme="majorHAnsi" w:cstheme="majorHAnsi"/>
          <w:b/>
          <w:color w:val="595959"/>
        </w:rPr>
      </w:pPr>
    </w:p>
    <w:p w14:paraId="0CAF46EE" w14:textId="77777777" w:rsidR="009024B5" w:rsidRPr="001853D9" w:rsidRDefault="009024B5" w:rsidP="005A6A28">
      <w:pPr>
        <w:spacing w:line="276" w:lineRule="auto"/>
        <w:rPr>
          <w:rFonts w:asciiTheme="majorHAnsi" w:eastAsia="Calibri" w:hAnsiTheme="majorHAnsi" w:cstheme="majorHAnsi"/>
          <w:b/>
          <w:color w:val="595959"/>
        </w:rPr>
      </w:pPr>
    </w:p>
    <w:p w14:paraId="3B40D800" w14:textId="77777777" w:rsidR="009024B5" w:rsidRPr="001853D9" w:rsidRDefault="009024B5" w:rsidP="005A6A28">
      <w:pPr>
        <w:spacing w:line="276" w:lineRule="auto"/>
        <w:rPr>
          <w:rFonts w:asciiTheme="majorHAnsi" w:eastAsia="Calibri" w:hAnsiTheme="majorHAnsi" w:cstheme="majorHAnsi"/>
          <w:b/>
          <w:color w:val="595959"/>
        </w:rPr>
      </w:pPr>
    </w:p>
    <w:p w14:paraId="41AB530A" w14:textId="77777777" w:rsidR="00FE5EE1" w:rsidRPr="001853D9" w:rsidRDefault="00FE5EE1" w:rsidP="005A6A28">
      <w:pPr>
        <w:spacing w:line="276" w:lineRule="auto"/>
        <w:rPr>
          <w:rFonts w:asciiTheme="majorHAnsi" w:eastAsia="Calibri" w:hAnsiTheme="majorHAnsi" w:cstheme="majorHAnsi"/>
          <w:b/>
          <w:color w:val="595959"/>
        </w:rPr>
      </w:pPr>
    </w:p>
    <w:p w14:paraId="649D74B5" w14:textId="77777777" w:rsidR="001853D9" w:rsidRPr="001853D9" w:rsidRDefault="00FE5EE1" w:rsidP="005A6A28">
      <w:pPr>
        <w:spacing w:line="276" w:lineRule="auto"/>
        <w:jc w:val="center"/>
        <w:rPr>
          <w:rFonts w:asciiTheme="majorHAnsi" w:eastAsia="Calibri" w:hAnsiTheme="majorHAnsi" w:cstheme="majorHAnsi"/>
          <w:color w:val="595959"/>
        </w:rPr>
      </w:pPr>
      <w:bookmarkStart w:id="4" w:name="_Hlk82237880"/>
      <w:r w:rsidRPr="001853D9">
        <w:rPr>
          <w:rFonts w:asciiTheme="majorHAnsi" w:eastAsia="Calibri" w:hAnsiTheme="majorHAnsi" w:cstheme="majorHAnsi"/>
          <w:color w:val="595959"/>
        </w:rPr>
        <w:t>[κενή σελίδα]</w:t>
      </w:r>
      <w:bookmarkEnd w:id="4"/>
    </w:p>
    <w:sdt>
      <w:sdtPr>
        <w:rPr>
          <w:rFonts w:asciiTheme="minorHAnsi" w:eastAsiaTheme="minorHAnsi" w:hAnsiTheme="minorHAnsi" w:cstheme="minorBidi"/>
          <w:b w:val="0"/>
          <w:bCs w:val="0"/>
          <w:color w:val="auto"/>
          <w:sz w:val="22"/>
          <w:szCs w:val="22"/>
          <w:lang w:val="el-GR" w:eastAsia="en-US"/>
        </w:rPr>
        <w:id w:val="-1813702527"/>
        <w:docPartObj>
          <w:docPartGallery w:val="Table of Contents"/>
          <w:docPartUnique/>
        </w:docPartObj>
      </w:sdtPr>
      <w:sdtEndPr/>
      <w:sdtContent>
        <w:p w14:paraId="079327F0" w14:textId="77777777" w:rsidR="00B245DD" w:rsidRDefault="00B245DD">
          <w:pPr>
            <w:pStyle w:val="TOCHeading"/>
          </w:pPr>
          <w:r>
            <w:rPr>
              <w:lang w:val="el-GR"/>
            </w:rPr>
            <w:t>Περιεχόμενα</w:t>
          </w:r>
        </w:p>
        <w:p w14:paraId="336FD00B" w14:textId="77777777" w:rsidR="003F4309" w:rsidRPr="003F4309" w:rsidRDefault="009B7AD0" w:rsidP="003F4309">
          <w:pPr>
            <w:pStyle w:val="TOC1"/>
            <w:rPr>
              <w:noProof/>
            </w:rPr>
          </w:pPr>
          <w:r w:rsidRPr="00272080">
            <w:fldChar w:fldCharType="begin"/>
          </w:r>
          <w:r w:rsidR="00B245DD" w:rsidRPr="003F4309">
            <w:instrText xml:space="preserve"> TOC \o "1-3" \h \z \u </w:instrText>
          </w:r>
          <w:r w:rsidRPr="00272080">
            <w:fldChar w:fldCharType="separate"/>
          </w:r>
          <w:hyperlink w:anchor="_Toc98160512" w:history="1">
            <w:r w:rsidR="003F4309" w:rsidRPr="003F4309">
              <w:rPr>
                <w:noProof/>
              </w:rPr>
              <w:t>Σύνοψη</w:t>
            </w:r>
            <w:r w:rsidR="003F4309" w:rsidRPr="003F4309">
              <w:rPr>
                <w:noProof/>
                <w:webHidden/>
              </w:rPr>
              <w:tab/>
            </w:r>
            <w:r w:rsidRPr="003F4309">
              <w:rPr>
                <w:noProof/>
                <w:webHidden/>
              </w:rPr>
              <w:fldChar w:fldCharType="begin"/>
            </w:r>
            <w:r w:rsidR="003F4309" w:rsidRPr="003F4309">
              <w:rPr>
                <w:noProof/>
                <w:webHidden/>
              </w:rPr>
              <w:instrText xml:space="preserve"> PAGEREF _Toc98160512 \h </w:instrText>
            </w:r>
            <w:r w:rsidRPr="003F4309">
              <w:rPr>
                <w:noProof/>
                <w:webHidden/>
              </w:rPr>
            </w:r>
            <w:r w:rsidRPr="003F4309">
              <w:rPr>
                <w:noProof/>
                <w:webHidden/>
              </w:rPr>
              <w:fldChar w:fldCharType="separate"/>
            </w:r>
            <w:r w:rsidR="00E96363">
              <w:rPr>
                <w:noProof/>
                <w:webHidden/>
              </w:rPr>
              <w:t>7</w:t>
            </w:r>
            <w:r w:rsidRPr="003F4309">
              <w:rPr>
                <w:noProof/>
                <w:webHidden/>
              </w:rPr>
              <w:fldChar w:fldCharType="end"/>
            </w:r>
          </w:hyperlink>
        </w:p>
        <w:p w14:paraId="638D1621" w14:textId="77777777" w:rsidR="003F4309" w:rsidRPr="003F4309" w:rsidRDefault="0059099F" w:rsidP="003F4309">
          <w:pPr>
            <w:pStyle w:val="TOC1"/>
            <w:rPr>
              <w:noProof/>
            </w:rPr>
          </w:pPr>
          <w:hyperlink w:anchor="_Toc98160513" w:history="1">
            <w:r w:rsidR="003F4309" w:rsidRPr="003F4309">
              <w:rPr>
                <w:noProof/>
              </w:rPr>
              <w:t>Summary</w:t>
            </w:r>
            <w:r w:rsidR="003F4309" w:rsidRPr="003F4309">
              <w:rPr>
                <w:noProof/>
                <w:webHidden/>
              </w:rPr>
              <w:tab/>
            </w:r>
            <w:r w:rsidR="009B7AD0" w:rsidRPr="003F4309">
              <w:rPr>
                <w:noProof/>
                <w:webHidden/>
              </w:rPr>
              <w:fldChar w:fldCharType="begin"/>
            </w:r>
            <w:r w:rsidR="003F4309" w:rsidRPr="003F4309">
              <w:rPr>
                <w:noProof/>
                <w:webHidden/>
              </w:rPr>
              <w:instrText xml:space="preserve"> PAGEREF _Toc98160513 \h </w:instrText>
            </w:r>
            <w:r w:rsidR="009B7AD0" w:rsidRPr="003F4309">
              <w:rPr>
                <w:noProof/>
                <w:webHidden/>
              </w:rPr>
            </w:r>
            <w:r w:rsidR="009B7AD0" w:rsidRPr="003F4309">
              <w:rPr>
                <w:noProof/>
                <w:webHidden/>
              </w:rPr>
              <w:fldChar w:fldCharType="separate"/>
            </w:r>
            <w:r w:rsidR="00E96363">
              <w:rPr>
                <w:noProof/>
                <w:webHidden/>
              </w:rPr>
              <w:t>9</w:t>
            </w:r>
            <w:r w:rsidR="009B7AD0" w:rsidRPr="003F4309">
              <w:rPr>
                <w:noProof/>
                <w:webHidden/>
              </w:rPr>
              <w:fldChar w:fldCharType="end"/>
            </w:r>
          </w:hyperlink>
        </w:p>
        <w:p w14:paraId="3696CB8D" w14:textId="77777777" w:rsidR="003F4309" w:rsidRPr="003F4309" w:rsidRDefault="0059099F" w:rsidP="003F4309">
          <w:pPr>
            <w:pStyle w:val="TOC1"/>
            <w:rPr>
              <w:noProof/>
            </w:rPr>
          </w:pPr>
          <w:hyperlink w:anchor="_Toc98160514" w:history="1">
            <w:r w:rsidR="003F4309" w:rsidRPr="003F4309">
              <w:rPr>
                <w:noProof/>
              </w:rPr>
              <w:t>1. Μακροοικονομικές εξελίξεις</w:t>
            </w:r>
            <w:r w:rsidR="003F4309" w:rsidRPr="003F4309">
              <w:rPr>
                <w:noProof/>
                <w:webHidden/>
              </w:rPr>
              <w:tab/>
            </w:r>
            <w:r w:rsidR="009B7AD0" w:rsidRPr="003F4309">
              <w:rPr>
                <w:noProof/>
                <w:webHidden/>
              </w:rPr>
              <w:fldChar w:fldCharType="begin"/>
            </w:r>
            <w:r w:rsidR="003F4309" w:rsidRPr="003F4309">
              <w:rPr>
                <w:noProof/>
                <w:webHidden/>
              </w:rPr>
              <w:instrText xml:space="preserve"> PAGEREF _Toc98160514 \h </w:instrText>
            </w:r>
            <w:r w:rsidR="009B7AD0" w:rsidRPr="003F4309">
              <w:rPr>
                <w:noProof/>
                <w:webHidden/>
              </w:rPr>
            </w:r>
            <w:r w:rsidR="009B7AD0" w:rsidRPr="003F4309">
              <w:rPr>
                <w:noProof/>
                <w:webHidden/>
              </w:rPr>
              <w:fldChar w:fldCharType="separate"/>
            </w:r>
            <w:r w:rsidR="00E96363">
              <w:rPr>
                <w:noProof/>
                <w:webHidden/>
              </w:rPr>
              <w:t>11</w:t>
            </w:r>
            <w:r w:rsidR="009B7AD0" w:rsidRPr="003F4309">
              <w:rPr>
                <w:noProof/>
                <w:webHidden/>
              </w:rPr>
              <w:fldChar w:fldCharType="end"/>
            </w:r>
          </w:hyperlink>
        </w:p>
        <w:p w14:paraId="520BB8B6" w14:textId="77777777" w:rsidR="003F4309" w:rsidRPr="003F4309" w:rsidRDefault="0059099F">
          <w:pPr>
            <w:pStyle w:val="TOC2"/>
            <w:rPr>
              <w:rFonts w:asciiTheme="minorHAnsi" w:eastAsia="Calibri" w:hAnsiTheme="minorHAnsi" w:cstheme="minorBidi"/>
              <w:bCs w:val="0"/>
            </w:rPr>
          </w:pPr>
          <w:hyperlink w:anchor="_Toc98160515" w:history="1">
            <w:r w:rsidR="003F4309" w:rsidRPr="003F4309">
              <w:rPr>
                <w:rFonts w:asciiTheme="minorHAnsi" w:eastAsia="Calibri" w:hAnsiTheme="minorHAnsi" w:cstheme="minorBidi"/>
                <w:bCs w:val="0"/>
              </w:rPr>
              <w:t>1.1. Διεθνές και ευρωπαϊκό περιβάλλον</w:t>
            </w:r>
            <w:r w:rsidR="003F4309" w:rsidRPr="003F4309">
              <w:rPr>
                <w:rFonts w:asciiTheme="minorHAnsi" w:eastAsia="Calibri" w:hAnsiTheme="minorHAnsi" w:cstheme="minorBidi"/>
                <w:bCs w:val="0"/>
                <w:webHidden/>
              </w:rPr>
              <w:tab/>
            </w:r>
            <w:r w:rsidR="009B7AD0" w:rsidRPr="003F4309">
              <w:rPr>
                <w:rFonts w:asciiTheme="minorHAnsi" w:eastAsia="Calibri" w:hAnsiTheme="minorHAnsi" w:cstheme="minorBidi"/>
                <w:bCs w:val="0"/>
                <w:webHidden/>
              </w:rPr>
              <w:fldChar w:fldCharType="begin"/>
            </w:r>
            <w:r w:rsidR="003F4309" w:rsidRPr="003F4309">
              <w:rPr>
                <w:rFonts w:asciiTheme="minorHAnsi" w:eastAsia="Calibri" w:hAnsiTheme="minorHAnsi" w:cstheme="minorBidi"/>
                <w:bCs w:val="0"/>
                <w:webHidden/>
              </w:rPr>
              <w:instrText xml:space="preserve"> PAGEREF _Toc98160515 \h </w:instrText>
            </w:r>
            <w:r w:rsidR="009B7AD0" w:rsidRPr="003F4309">
              <w:rPr>
                <w:rFonts w:asciiTheme="minorHAnsi" w:eastAsia="Calibri" w:hAnsiTheme="minorHAnsi" w:cstheme="minorBidi"/>
                <w:bCs w:val="0"/>
                <w:webHidden/>
              </w:rPr>
            </w:r>
            <w:r w:rsidR="009B7AD0" w:rsidRPr="003F4309">
              <w:rPr>
                <w:rFonts w:asciiTheme="minorHAnsi" w:eastAsia="Calibri" w:hAnsiTheme="minorHAnsi" w:cstheme="minorBidi"/>
                <w:bCs w:val="0"/>
                <w:webHidden/>
              </w:rPr>
              <w:fldChar w:fldCharType="separate"/>
            </w:r>
            <w:r w:rsidR="00E96363">
              <w:rPr>
                <w:rFonts w:asciiTheme="minorHAnsi" w:eastAsia="Calibri" w:hAnsiTheme="minorHAnsi" w:cstheme="minorBidi"/>
                <w:bCs w:val="0"/>
                <w:webHidden/>
              </w:rPr>
              <w:t>11</w:t>
            </w:r>
            <w:r w:rsidR="009B7AD0" w:rsidRPr="003F4309">
              <w:rPr>
                <w:rFonts w:asciiTheme="minorHAnsi" w:eastAsia="Calibri" w:hAnsiTheme="minorHAnsi" w:cstheme="minorBidi"/>
                <w:bCs w:val="0"/>
                <w:webHidden/>
              </w:rPr>
              <w:fldChar w:fldCharType="end"/>
            </w:r>
          </w:hyperlink>
        </w:p>
        <w:p w14:paraId="26BA0BD0" w14:textId="77777777" w:rsidR="003F4309" w:rsidRPr="003F4309" w:rsidRDefault="0059099F">
          <w:pPr>
            <w:pStyle w:val="TOC2"/>
            <w:rPr>
              <w:rFonts w:asciiTheme="minorHAnsi" w:eastAsia="Calibri" w:hAnsiTheme="minorHAnsi" w:cstheme="minorBidi"/>
              <w:bCs w:val="0"/>
            </w:rPr>
          </w:pPr>
          <w:hyperlink w:anchor="_Toc98160516" w:history="1">
            <w:r w:rsidR="003F4309" w:rsidRPr="003F4309">
              <w:rPr>
                <w:rFonts w:asciiTheme="minorHAnsi" w:eastAsia="Calibri" w:hAnsiTheme="minorHAnsi" w:cstheme="minorBidi"/>
                <w:bCs w:val="0"/>
              </w:rPr>
              <w:t>1.2. Εγχώριο περιβάλλον</w:t>
            </w:r>
            <w:r w:rsidR="003F4309" w:rsidRPr="003F4309">
              <w:rPr>
                <w:rFonts w:asciiTheme="minorHAnsi" w:eastAsia="Calibri" w:hAnsiTheme="minorHAnsi" w:cstheme="minorBidi"/>
                <w:bCs w:val="0"/>
                <w:webHidden/>
              </w:rPr>
              <w:tab/>
            </w:r>
            <w:r w:rsidR="009B7AD0" w:rsidRPr="003F4309">
              <w:rPr>
                <w:rFonts w:asciiTheme="minorHAnsi" w:eastAsia="Calibri" w:hAnsiTheme="minorHAnsi" w:cstheme="minorBidi"/>
                <w:bCs w:val="0"/>
                <w:webHidden/>
              </w:rPr>
              <w:fldChar w:fldCharType="begin"/>
            </w:r>
            <w:r w:rsidR="003F4309" w:rsidRPr="003F4309">
              <w:rPr>
                <w:rFonts w:asciiTheme="minorHAnsi" w:eastAsia="Calibri" w:hAnsiTheme="minorHAnsi" w:cstheme="minorBidi"/>
                <w:bCs w:val="0"/>
                <w:webHidden/>
              </w:rPr>
              <w:instrText xml:space="preserve"> PAGEREF _Toc98160516 \h </w:instrText>
            </w:r>
            <w:r w:rsidR="009B7AD0" w:rsidRPr="003F4309">
              <w:rPr>
                <w:rFonts w:asciiTheme="minorHAnsi" w:eastAsia="Calibri" w:hAnsiTheme="minorHAnsi" w:cstheme="minorBidi"/>
                <w:bCs w:val="0"/>
                <w:webHidden/>
              </w:rPr>
            </w:r>
            <w:r w:rsidR="009B7AD0" w:rsidRPr="003F4309">
              <w:rPr>
                <w:rFonts w:asciiTheme="minorHAnsi" w:eastAsia="Calibri" w:hAnsiTheme="minorHAnsi" w:cstheme="minorBidi"/>
                <w:bCs w:val="0"/>
                <w:webHidden/>
              </w:rPr>
              <w:fldChar w:fldCharType="separate"/>
            </w:r>
            <w:r w:rsidR="00E96363">
              <w:rPr>
                <w:rFonts w:asciiTheme="minorHAnsi" w:eastAsia="Calibri" w:hAnsiTheme="minorHAnsi" w:cstheme="minorBidi"/>
                <w:bCs w:val="0"/>
                <w:webHidden/>
              </w:rPr>
              <w:t>13</w:t>
            </w:r>
            <w:r w:rsidR="009B7AD0" w:rsidRPr="003F4309">
              <w:rPr>
                <w:rFonts w:asciiTheme="minorHAnsi" w:eastAsia="Calibri" w:hAnsiTheme="minorHAnsi" w:cstheme="minorBidi"/>
                <w:bCs w:val="0"/>
                <w:webHidden/>
              </w:rPr>
              <w:fldChar w:fldCharType="end"/>
            </w:r>
          </w:hyperlink>
        </w:p>
        <w:p w14:paraId="4A640167"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17" w:history="1">
            <w:r w:rsidR="003F4309" w:rsidRPr="003F4309">
              <w:rPr>
                <w:rFonts w:asciiTheme="minorHAnsi" w:eastAsia="Calibri" w:hAnsiTheme="minorHAnsi" w:cstheme="minorBidi"/>
                <w:bCs w:val="0"/>
                <w:color w:val="595959" w:themeColor="text1" w:themeTint="A6"/>
              </w:rPr>
              <w:t>ΑΕΠ και συνιστώσες</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_Toc98160517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13</w:t>
            </w:r>
            <w:r w:rsidR="009B7AD0" w:rsidRPr="003F4309">
              <w:rPr>
                <w:rFonts w:asciiTheme="minorHAnsi" w:eastAsia="Calibri" w:hAnsiTheme="minorHAnsi" w:cstheme="minorBidi"/>
                <w:bCs w:val="0"/>
                <w:webHidden/>
                <w:color w:val="595959" w:themeColor="text1" w:themeTint="A6"/>
              </w:rPr>
              <w:fldChar w:fldCharType="end"/>
            </w:r>
          </w:hyperlink>
        </w:p>
        <w:p w14:paraId="7996BA42"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18" w:history="1">
            <w:r w:rsidR="003F4309" w:rsidRPr="003F4309">
              <w:rPr>
                <w:rFonts w:asciiTheme="minorHAnsi" w:eastAsia="Calibri" w:hAnsiTheme="minorHAnsi" w:cstheme="minorBidi"/>
                <w:bCs w:val="0"/>
                <w:color w:val="595959" w:themeColor="text1" w:themeTint="A6"/>
              </w:rPr>
              <w:t>Προβλέψεις για το 2022</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_Toc98160518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14</w:t>
            </w:r>
            <w:r w:rsidR="009B7AD0" w:rsidRPr="003F4309">
              <w:rPr>
                <w:rFonts w:asciiTheme="minorHAnsi" w:eastAsia="Calibri" w:hAnsiTheme="minorHAnsi" w:cstheme="minorBidi"/>
                <w:bCs w:val="0"/>
                <w:webHidden/>
                <w:color w:val="595959" w:themeColor="text1" w:themeTint="A6"/>
              </w:rPr>
              <w:fldChar w:fldCharType="end"/>
            </w:r>
          </w:hyperlink>
        </w:p>
        <w:p w14:paraId="2674811F"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19" w:history="1">
            <w:r w:rsidR="003F4309" w:rsidRPr="003F4309">
              <w:rPr>
                <w:rFonts w:asciiTheme="minorHAnsi" w:eastAsia="Calibri" w:hAnsiTheme="minorHAnsi" w:cstheme="minorBidi"/>
                <w:bCs w:val="0"/>
                <w:color w:val="595959" w:themeColor="text1" w:themeTint="A6"/>
              </w:rPr>
              <w:t>Βραχυχρόνιοι δείκτες</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_Toc98160519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17</w:t>
            </w:r>
            <w:r w:rsidR="009B7AD0" w:rsidRPr="003F4309">
              <w:rPr>
                <w:rFonts w:asciiTheme="minorHAnsi" w:eastAsia="Calibri" w:hAnsiTheme="minorHAnsi" w:cstheme="minorBidi"/>
                <w:bCs w:val="0"/>
                <w:webHidden/>
                <w:color w:val="595959" w:themeColor="text1" w:themeTint="A6"/>
              </w:rPr>
              <w:fldChar w:fldCharType="end"/>
            </w:r>
          </w:hyperlink>
        </w:p>
        <w:p w14:paraId="5E8A4193"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20" w:history="1">
            <w:r w:rsidR="003F4309" w:rsidRPr="003F4309">
              <w:rPr>
                <w:rFonts w:asciiTheme="minorHAnsi" w:eastAsia="Calibri" w:hAnsiTheme="minorHAnsi" w:cstheme="minorBidi"/>
                <w:bCs w:val="0"/>
                <w:color w:val="595959" w:themeColor="text1" w:themeTint="A6"/>
              </w:rPr>
              <w:t>Ρευστότητα</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_Toc98160520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17</w:t>
            </w:r>
            <w:r w:rsidR="009B7AD0" w:rsidRPr="003F4309">
              <w:rPr>
                <w:rFonts w:asciiTheme="minorHAnsi" w:eastAsia="Calibri" w:hAnsiTheme="minorHAnsi" w:cstheme="minorBidi"/>
                <w:bCs w:val="0"/>
                <w:webHidden/>
                <w:color w:val="595959" w:themeColor="text1" w:themeTint="A6"/>
              </w:rPr>
              <w:fldChar w:fldCharType="end"/>
            </w:r>
          </w:hyperlink>
        </w:p>
        <w:p w14:paraId="790290E5"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21" w:history="1">
            <w:r w:rsidR="003F4309" w:rsidRPr="003F4309">
              <w:rPr>
                <w:rFonts w:asciiTheme="minorHAnsi" w:eastAsia="Calibri" w:hAnsiTheme="minorHAnsi" w:cstheme="minorBidi"/>
                <w:bCs w:val="0"/>
                <w:color w:val="595959" w:themeColor="text1" w:themeTint="A6"/>
              </w:rPr>
              <w:t>Πληθωρισμός</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_Toc98160521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18</w:t>
            </w:r>
            <w:r w:rsidR="009B7AD0" w:rsidRPr="003F4309">
              <w:rPr>
                <w:rFonts w:asciiTheme="minorHAnsi" w:eastAsia="Calibri" w:hAnsiTheme="minorHAnsi" w:cstheme="minorBidi"/>
                <w:bCs w:val="0"/>
                <w:webHidden/>
                <w:color w:val="595959" w:themeColor="text1" w:themeTint="A6"/>
              </w:rPr>
              <w:fldChar w:fldCharType="end"/>
            </w:r>
          </w:hyperlink>
        </w:p>
        <w:p w14:paraId="727DA1FE"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22" w:history="1">
            <w:r w:rsidR="003F4309" w:rsidRPr="003F4309">
              <w:rPr>
                <w:rFonts w:asciiTheme="minorHAnsi" w:eastAsia="Calibri" w:hAnsiTheme="minorHAnsi" w:cstheme="minorBidi"/>
                <w:bCs w:val="0"/>
                <w:color w:val="595959" w:themeColor="text1" w:themeTint="A6"/>
              </w:rPr>
              <w:t>Εξωτερικός τομέας</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_Toc98160522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18</w:t>
            </w:r>
            <w:r w:rsidR="009B7AD0" w:rsidRPr="003F4309">
              <w:rPr>
                <w:rFonts w:asciiTheme="minorHAnsi" w:eastAsia="Calibri" w:hAnsiTheme="minorHAnsi" w:cstheme="minorBidi"/>
                <w:bCs w:val="0"/>
                <w:webHidden/>
                <w:color w:val="595959" w:themeColor="text1" w:themeTint="A6"/>
              </w:rPr>
              <w:fldChar w:fldCharType="end"/>
            </w:r>
          </w:hyperlink>
        </w:p>
        <w:p w14:paraId="58BC7067"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23" w:history="1">
            <w:r w:rsidR="003F4309" w:rsidRPr="003F4309">
              <w:rPr>
                <w:rFonts w:asciiTheme="minorHAnsi" w:eastAsia="Calibri" w:hAnsiTheme="minorHAnsi" w:cstheme="minorBidi"/>
                <w:bCs w:val="0"/>
                <w:color w:val="595959" w:themeColor="text1" w:themeTint="A6"/>
              </w:rPr>
              <w:t>Ανεργία</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_Toc98160523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20</w:t>
            </w:r>
            <w:r w:rsidR="009B7AD0" w:rsidRPr="003F4309">
              <w:rPr>
                <w:rFonts w:asciiTheme="minorHAnsi" w:eastAsia="Calibri" w:hAnsiTheme="minorHAnsi" w:cstheme="minorBidi"/>
                <w:bCs w:val="0"/>
                <w:webHidden/>
                <w:color w:val="595959" w:themeColor="text1" w:themeTint="A6"/>
              </w:rPr>
              <w:fldChar w:fldCharType="end"/>
            </w:r>
          </w:hyperlink>
        </w:p>
        <w:p w14:paraId="5031053F"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24" w:history="1">
            <w:r w:rsidR="003F4309" w:rsidRPr="003F4309">
              <w:rPr>
                <w:rFonts w:asciiTheme="minorHAnsi" w:eastAsia="Calibri" w:hAnsiTheme="minorHAnsi" w:cstheme="minorBidi"/>
                <w:bCs w:val="0"/>
                <w:color w:val="595959" w:themeColor="text1" w:themeTint="A6"/>
              </w:rPr>
              <w:t>Απασχόληση</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_Toc98160524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20</w:t>
            </w:r>
            <w:r w:rsidR="009B7AD0" w:rsidRPr="003F4309">
              <w:rPr>
                <w:rFonts w:asciiTheme="minorHAnsi" w:eastAsia="Calibri" w:hAnsiTheme="minorHAnsi" w:cstheme="minorBidi"/>
                <w:bCs w:val="0"/>
                <w:webHidden/>
                <w:color w:val="595959" w:themeColor="text1" w:themeTint="A6"/>
              </w:rPr>
              <w:fldChar w:fldCharType="end"/>
            </w:r>
          </w:hyperlink>
        </w:p>
        <w:p w14:paraId="03A315F6"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25" w:history="1">
            <w:r w:rsidR="003F4309" w:rsidRPr="003F4309">
              <w:rPr>
                <w:rFonts w:asciiTheme="minorHAnsi" w:eastAsia="Calibri" w:hAnsiTheme="minorHAnsi" w:cstheme="minorBidi"/>
                <w:bCs w:val="0"/>
                <w:color w:val="595959" w:themeColor="text1" w:themeTint="A6"/>
              </w:rPr>
              <w:t>Ροές μισθωτής εργασίας</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_Toc98160525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21</w:t>
            </w:r>
            <w:r w:rsidR="009B7AD0" w:rsidRPr="003F4309">
              <w:rPr>
                <w:rFonts w:asciiTheme="minorHAnsi" w:eastAsia="Calibri" w:hAnsiTheme="minorHAnsi" w:cstheme="minorBidi"/>
                <w:bCs w:val="0"/>
                <w:webHidden/>
                <w:color w:val="595959" w:themeColor="text1" w:themeTint="A6"/>
              </w:rPr>
              <w:fldChar w:fldCharType="end"/>
            </w:r>
          </w:hyperlink>
        </w:p>
        <w:p w14:paraId="228E2A34"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26" w:history="1">
            <w:r w:rsidR="003F4309" w:rsidRPr="003F4309">
              <w:rPr>
                <w:rFonts w:asciiTheme="minorHAnsi" w:eastAsia="Calibri" w:hAnsiTheme="minorHAnsi" w:cstheme="minorBidi"/>
                <w:bCs w:val="0"/>
                <w:color w:val="595959" w:themeColor="text1" w:themeTint="A6"/>
              </w:rPr>
              <w:t>Διαθέσιμο εισόδημα</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_Toc98160526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21</w:t>
            </w:r>
            <w:r w:rsidR="009B7AD0" w:rsidRPr="003F4309">
              <w:rPr>
                <w:rFonts w:asciiTheme="minorHAnsi" w:eastAsia="Calibri" w:hAnsiTheme="minorHAnsi" w:cstheme="minorBidi"/>
                <w:bCs w:val="0"/>
                <w:webHidden/>
                <w:color w:val="595959" w:themeColor="text1" w:themeTint="A6"/>
              </w:rPr>
              <w:fldChar w:fldCharType="end"/>
            </w:r>
          </w:hyperlink>
        </w:p>
        <w:p w14:paraId="42F5CA55" w14:textId="77777777" w:rsidR="003F4309" w:rsidRPr="003F4309" w:rsidRDefault="0059099F" w:rsidP="003F4309">
          <w:pPr>
            <w:pStyle w:val="TOC1"/>
            <w:rPr>
              <w:noProof/>
            </w:rPr>
          </w:pPr>
          <w:hyperlink w:anchor="_Toc98160527" w:history="1">
            <w:r w:rsidR="003F4309" w:rsidRPr="003F4309">
              <w:rPr>
                <w:noProof/>
              </w:rPr>
              <w:t>2. Δημοσιονομικές εξελίξεις</w:t>
            </w:r>
            <w:r w:rsidR="003F4309" w:rsidRPr="003F4309">
              <w:rPr>
                <w:noProof/>
                <w:webHidden/>
              </w:rPr>
              <w:tab/>
            </w:r>
            <w:r w:rsidR="009B7AD0" w:rsidRPr="003F4309">
              <w:rPr>
                <w:noProof/>
                <w:webHidden/>
              </w:rPr>
              <w:fldChar w:fldCharType="begin"/>
            </w:r>
            <w:r w:rsidR="003F4309" w:rsidRPr="003F4309">
              <w:rPr>
                <w:noProof/>
                <w:webHidden/>
              </w:rPr>
              <w:instrText xml:space="preserve"> PAGEREF _Toc98160527 \h </w:instrText>
            </w:r>
            <w:r w:rsidR="009B7AD0" w:rsidRPr="003F4309">
              <w:rPr>
                <w:noProof/>
                <w:webHidden/>
              </w:rPr>
            </w:r>
            <w:r w:rsidR="009B7AD0" w:rsidRPr="003F4309">
              <w:rPr>
                <w:noProof/>
                <w:webHidden/>
              </w:rPr>
              <w:fldChar w:fldCharType="separate"/>
            </w:r>
            <w:r w:rsidR="00E96363">
              <w:rPr>
                <w:noProof/>
                <w:webHidden/>
              </w:rPr>
              <w:t>22</w:t>
            </w:r>
            <w:r w:rsidR="009B7AD0" w:rsidRPr="003F4309">
              <w:rPr>
                <w:noProof/>
                <w:webHidden/>
              </w:rPr>
              <w:fldChar w:fldCharType="end"/>
            </w:r>
          </w:hyperlink>
        </w:p>
        <w:p w14:paraId="6A5FF69E" w14:textId="77777777" w:rsidR="003F4309" w:rsidRPr="003F4309" w:rsidRDefault="0059099F">
          <w:pPr>
            <w:pStyle w:val="TOC2"/>
            <w:rPr>
              <w:rFonts w:asciiTheme="minorHAnsi" w:eastAsia="Calibri" w:hAnsiTheme="minorHAnsi" w:cstheme="minorBidi"/>
              <w:bCs w:val="0"/>
            </w:rPr>
          </w:pPr>
          <w:hyperlink w:anchor="_Toc98160528" w:history="1">
            <w:r w:rsidR="003F4309" w:rsidRPr="003F4309">
              <w:rPr>
                <w:rFonts w:asciiTheme="minorHAnsi" w:eastAsia="Calibri" w:hAnsiTheme="minorHAnsi" w:cstheme="minorBidi"/>
                <w:bCs w:val="0"/>
              </w:rPr>
              <w:t>2.1. Δημοσιονομικά στοιχεία Ιανουαρίου - Δεκεμβρίου 2021</w:t>
            </w:r>
            <w:r w:rsidR="003F4309" w:rsidRPr="003F4309">
              <w:rPr>
                <w:rFonts w:asciiTheme="minorHAnsi" w:eastAsia="Calibri" w:hAnsiTheme="minorHAnsi" w:cstheme="minorBidi"/>
                <w:bCs w:val="0"/>
                <w:webHidden/>
              </w:rPr>
              <w:tab/>
            </w:r>
            <w:r w:rsidR="009B7AD0" w:rsidRPr="003F4309">
              <w:rPr>
                <w:rFonts w:asciiTheme="minorHAnsi" w:eastAsia="Calibri" w:hAnsiTheme="minorHAnsi" w:cstheme="minorBidi"/>
                <w:bCs w:val="0"/>
                <w:webHidden/>
              </w:rPr>
              <w:fldChar w:fldCharType="begin"/>
            </w:r>
            <w:r w:rsidR="003F4309" w:rsidRPr="003F4309">
              <w:rPr>
                <w:rFonts w:asciiTheme="minorHAnsi" w:eastAsia="Calibri" w:hAnsiTheme="minorHAnsi" w:cstheme="minorBidi"/>
                <w:bCs w:val="0"/>
                <w:webHidden/>
              </w:rPr>
              <w:instrText xml:space="preserve"> PAGEREF _Toc98160528 \h </w:instrText>
            </w:r>
            <w:r w:rsidR="009B7AD0" w:rsidRPr="003F4309">
              <w:rPr>
                <w:rFonts w:asciiTheme="minorHAnsi" w:eastAsia="Calibri" w:hAnsiTheme="minorHAnsi" w:cstheme="minorBidi"/>
                <w:bCs w:val="0"/>
                <w:webHidden/>
              </w:rPr>
            </w:r>
            <w:r w:rsidR="009B7AD0" w:rsidRPr="003F4309">
              <w:rPr>
                <w:rFonts w:asciiTheme="minorHAnsi" w:eastAsia="Calibri" w:hAnsiTheme="minorHAnsi" w:cstheme="minorBidi"/>
                <w:bCs w:val="0"/>
                <w:webHidden/>
              </w:rPr>
              <w:fldChar w:fldCharType="separate"/>
            </w:r>
            <w:r w:rsidR="00E96363">
              <w:rPr>
                <w:rFonts w:asciiTheme="minorHAnsi" w:eastAsia="Calibri" w:hAnsiTheme="minorHAnsi" w:cstheme="minorBidi"/>
                <w:bCs w:val="0"/>
                <w:webHidden/>
              </w:rPr>
              <w:t>22</w:t>
            </w:r>
            <w:r w:rsidR="009B7AD0" w:rsidRPr="003F4309">
              <w:rPr>
                <w:rFonts w:asciiTheme="minorHAnsi" w:eastAsia="Calibri" w:hAnsiTheme="minorHAnsi" w:cstheme="minorBidi"/>
                <w:bCs w:val="0"/>
                <w:webHidden/>
              </w:rPr>
              <w:fldChar w:fldCharType="end"/>
            </w:r>
          </w:hyperlink>
        </w:p>
        <w:p w14:paraId="7E850022"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29" w:history="1">
            <w:r w:rsidR="003F4309" w:rsidRPr="003F4309">
              <w:rPr>
                <w:rFonts w:asciiTheme="minorHAnsi" w:hAnsiTheme="minorHAnsi" w:cstheme="minorBidi"/>
                <w:bCs w:val="0"/>
                <w:color w:val="595959" w:themeColor="text1" w:themeTint="A6"/>
              </w:rPr>
              <w:t>Μεθοδολογικές Διευκρινίσεις</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_Toc98160529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24</w:t>
            </w:r>
            <w:r w:rsidR="009B7AD0" w:rsidRPr="003F4309">
              <w:rPr>
                <w:rFonts w:asciiTheme="minorHAnsi" w:eastAsia="Calibri" w:hAnsiTheme="minorHAnsi" w:cstheme="minorBidi"/>
                <w:bCs w:val="0"/>
                <w:webHidden/>
                <w:color w:val="595959" w:themeColor="text1" w:themeTint="A6"/>
              </w:rPr>
              <w:fldChar w:fldCharType="end"/>
            </w:r>
          </w:hyperlink>
        </w:p>
        <w:p w14:paraId="4F631867" w14:textId="77777777" w:rsidR="003F4309" w:rsidRPr="003F4309" w:rsidRDefault="0059099F">
          <w:pPr>
            <w:pStyle w:val="TOC2"/>
            <w:rPr>
              <w:rFonts w:asciiTheme="minorHAnsi" w:eastAsia="Calibri" w:hAnsiTheme="minorHAnsi" w:cstheme="minorBidi"/>
              <w:bCs w:val="0"/>
            </w:rPr>
          </w:pPr>
          <w:hyperlink w:anchor="_Toc98160530" w:history="1">
            <w:r w:rsidR="003F4309" w:rsidRPr="003F4309">
              <w:rPr>
                <w:rFonts w:asciiTheme="minorHAnsi" w:eastAsia="Calibri" w:hAnsiTheme="minorHAnsi" w:cstheme="minorBidi"/>
                <w:bCs w:val="0"/>
              </w:rPr>
              <w:t>2.2. Ληξιπρόθεσμες υποχρεώσεις και απαιτήσεις Δημοσίου</w:t>
            </w:r>
            <w:r w:rsidR="003F4309" w:rsidRPr="003F4309">
              <w:rPr>
                <w:rFonts w:asciiTheme="minorHAnsi" w:eastAsia="Calibri" w:hAnsiTheme="minorHAnsi" w:cstheme="minorBidi"/>
                <w:bCs w:val="0"/>
                <w:webHidden/>
              </w:rPr>
              <w:tab/>
            </w:r>
            <w:r w:rsidR="009B7AD0" w:rsidRPr="003F4309">
              <w:rPr>
                <w:rFonts w:asciiTheme="minorHAnsi" w:eastAsia="Calibri" w:hAnsiTheme="minorHAnsi" w:cstheme="minorBidi"/>
                <w:bCs w:val="0"/>
                <w:webHidden/>
              </w:rPr>
              <w:fldChar w:fldCharType="begin"/>
            </w:r>
            <w:r w:rsidR="003F4309" w:rsidRPr="003F4309">
              <w:rPr>
                <w:rFonts w:asciiTheme="minorHAnsi" w:eastAsia="Calibri" w:hAnsiTheme="minorHAnsi" w:cstheme="minorBidi"/>
                <w:bCs w:val="0"/>
                <w:webHidden/>
              </w:rPr>
              <w:instrText xml:space="preserve"> PAGEREF _Toc98160530 \h </w:instrText>
            </w:r>
            <w:r w:rsidR="009B7AD0" w:rsidRPr="003F4309">
              <w:rPr>
                <w:rFonts w:asciiTheme="minorHAnsi" w:eastAsia="Calibri" w:hAnsiTheme="minorHAnsi" w:cstheme="minorBidi"/>
                <w:bCs w:val="0"/>
                <w:webHidden/>
              </w:rPr>
            </w:r>
            <w:r w:rsidR="009B7AD0" w:rsidRPr="003F4309">
              <w:rPr>
                <w:rFonts w:asciiTheme="minorHAnsi" w:eastAsia="Calibri" w:hAnsiTheme="minorHAnsi" w:cstheme="minorBidi"/>
                <w:bCs w:val="0"/>
                <w:webHidden/>
              </w:rPr>
              <w:fldChar w:fldCharType="separate"/>
            </w:r>
            <w:r w:rsidR="00E96363">
              <w:rPr>
                <w:rFonts w:asciiTheme="minorHAnsi" w:eastAsia="Calibri" w:hAnsiTheme="minorHAnsi" w:cstheme="minorBidi"/>
                <w:bCs w:val="0"/>
                <w:webHidden/>
              </w:rPr>
              <w:t>25</w:t>
            </w:r>
            <w:r w:rsidR="009B7AD0" w:rsidRPr="003F4309">
              <w:rPr>
                <w:rFonts w:asciiTheme="minorHAnsi" w:eastAsia="Calibri" w:hAnsiTheme="minorHAnsi" w:cstheme="minorBidi"/>
                <w:bCs w:val="0"/>
                <w:webHidden/>
              </w:rPr>
              <w:fldChar w:fldCharType="end"/>
            </w:r>
          </w:hyperlink>
        </w:p>
        <w:p w14:paraId="27AC1198"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31" w:history="1">
            <w:r w:rsidR="003F4309" w:rsidRPr="003F4309">
              <w:rPr>
                <w:rFonts w:asciiTheme="minorHAnsi" w:eastAsia="Calibri" w:hAnsiTheme="minorHAnsi" w:cstheme="minorBidi"/>
                <w:bCs w:val="0"/>
                <w:color w:val="595959" w:themeColor="text1" w:themeTint="A6"/>
              </w:rPr>
              <w:t>Ληξιπρόθεσμες υποχρεώσεις δημοσίου</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_Toc98160531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25</w:t>
            </w:r>
            <w:r w:rsidR="009B7AD0" w:rsidRPr="003F4309">
              <w:rPr>
                <w:rFonts w:asciiTheme="minorHAnsi" w:eastAsia="Calibri" w:hAnsiTheme="minorHAnsi" w:cstheme="minorBidi"/>
                <w:bCs w:val="0"/>
                <w:webHidden/>
                <w:color w:val="595959" w:themeColor="text1" w:themeTint="A6"/>
              </w:rPr>
              <w:fldChar w:fldCharType="end"/>
            </w:r>
          </w:hyperlink>
        </w:p>
        <w:p w14:paraId="0F2BB675"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32" w:history="1">
            <w:r w:rsidR="003F4309" w:rsidRPr="003F4309">
              <w:rPr>
                <w:rFonts w:asciiTheme="minorHAnsi" w:eastAsia="Calibri" w:hAnsiTheme="minorHAnsi" w:cstheme="minorBidi"/>
                <w:bCs w:val="0"/>
                <w:color w:val="595959" w:themeColor="text1" w:themeTint="A6"/>
              </w:rPr>
              <w:t>Ληξιπρόθεσμες υποχρεώσεις φορολογούμενων</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_Toc98160532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25</w:t>
            </w:r>
            <w:r w:rsidR="009B7AD0" w:rsidRPr="003F4309">
              <w:rPr>
                <w:rFonts w:asciiTheme="minorHAnsi" w:eastAsia="Calibri" w:hAnsiTheme="minorHAnsi" w:cstheme="minorBidi"/>
                <w:bCs w:val="0"/>
                <w:webHidden/>
                <w:color w:val="595959" w:themeColor="text1" w:themeTint="A6"/>
              </w:rPr>
              <w:fldChar w:fldCharType="end"/>
            </w:r>
          </w:hyperlink>
        </w:p>
        <w:p w14:paraId="1B036FDC"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33" w:history="1">
            <w:r w:rsidR="003F4309" w:rsidRPr="003F4309">
              <w:rPr>
                <w:rFonts w:asciiTheme="minorHAnsi" w:eastAsia="Calibri" w:hAnsiTheme="minorHAnsi" w:cstheme="minorBidi"/>
                <w:bCs w:val="0"/>
                <w:color w:val="595959" w:themeColor="text1" w:themeTint="A6"/>
              </w:rPr>
              <w:t>Ληξιπρόθεσμες υποχρεώσεις ασφαλισμένων</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_Toc98160533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30</w:t>
            </w:r>
            <w:r w:rsidR="009B7AD0" w:rsidRPr="003F4309">
              <w:rPr>
                <w:rFonts w:asciiTheme="minorHAnsi" w:eastAsia="Calibri" w:hAnsiTheme="minorHAnsi" w:cstheme="minorBidi"/>
                <w:bCs w:val="0"/>
                <w:webHidden/>
                <w:color w:val="595959" w:themeColor="text1" w:themeTint="A6"/>
              </w:rPr>
              <w:fldChar w:fldCharType="end"/>
            </w:r>
          </w:hyperlink>
        </w:p>
        <w:p w14:paraId="6DE71E17" w14:textId="77777777" w:rsidR="003F4309" w:rsidRPr="003F4309" w:rsidRDefault="0059099F">
          <w:pPr>
            <w:pStyle w:val="TOC2"/>
            <w:rPr>
              <w:rFonts w:asciiTheme="minorHAnsi" w:eastAsia="Calibri" w:hAnsiTheme="minorHAnsi" w:cstheme="minorBidi"/>
              <w:bCs w:val="0"/>
            </w:rPr>
          </w:pPr>
          <w:hyperlink w:anchor="_Toc98160534" w:history="1">
            <w:r w:rsidR="003F4309" w:rsidRPr="003F4309">
              <w:rPr>
                <w:rFonts w:asciiTheme="minorHAnsi" w:eastAsia="Calibri" w:hAnsiTheme="minorHAnsi" w:cstheme="minorBidi"/>
                <w:bCs w:val="0"/>
              </w:rPr>
              <w:t>2.3. Δημόσιο χρέος</w:t>
            </w:r>
            <w:r w:rsidR="003F4309" w:rsidRPr="003F4309">
              <w:rPr>
                <w:rFonts w:asciiTheme="minorHAnsi" w:eastAsia="Calibri" w:hAnsiTheme="minorHAnsi" w:cstheme="minorBidi"/>
                <w:bCs w:val="0"/>
                <w:webHidden/>
              </w:rPr>
              <w:tab/>
            </w:r>
            <w:r w:rsidR="009B7AD0" w:rsidRPr="003F4309">
              <w:rPr>
                <w:rFonts w:asciiTheme="minorHAnsi" w:eastAsia="Calibri" w:hAnsiTheme="minorHAnsi" w:cstheme="minorBidi"/>
                <w:bCs w:val="0"/>
                <w:webHidden/>
              </w:rPr>
              <w:fldChar w:fldCharType="begin"/>
            </w:r>
            <w:r w:rsidR="003F4309" w:rsidRPr="003F4309">
              <w:rPr>
                <w:rFonts w:asciiTheme="minorHAnsi" w:eastAsia="Calibri" w:hAnsiTheme="minorHAnsi" w:cstheme="minorBidi"/>
                <w:bCs w:val="0"/>
                <w:webHidden/>
              </w:rPr>
              <w:instrText xml:space="preserve"> PAGEREF _Toc98160534 \h </w:instrText>
            </w:r>
            <w:r w:rsidR="009B7AD0" w:rsidRPr="003F4309">
              <w:rPr>
                <w:rFonts w:asciiTheme="minorHAnsi" w:eastAsia="Calibri" w:hAnsiTheme="minorHAnsi" w:cstheme="minorBidi"/>
                <w:bCs w:val="0"/>
                <w:webHidden/>
              </w:rPr>
            </w:r>
            <w:r w:rsidR="009B7AD0" w:rsidRPr="003F4309">
              <w:rPr>
                <w:rFonts w:asciiTheme="minorHAnsi" w:eastAsia="Calibri" w:hAnsiTheme="minorHAnsi" w:cstheme="minorBidi"/>
                <w:bCs w:val="0"/>
                <w:webHidden/>
              </w:rPr>
              <w:fldChar w:fldCharType="separate"/>
            </w:r>
            <w:r w:rsidR="00E96363">
              <w:rPr>
                <w:rFonts w:asciiTheme="minorHAnsi" w:eastAsia="Calibri" w:hAnsiTheme="minorHAnsi" w:cstheme="minorBidi"/>
                <w:bCs w:val="0"/>
                <w:webHidden/>
              </w:rPr>
              <w:t>31</w:t>
            </w:r>
            <w:r w:rsidR="009B7AD0" w:rsidRPr="003F4309">
              <w:rPr>
                <w:rFonts w:asciiTheme="minorHAnsi" w:eastAsia="Calibri" w:hAnsiTheme="minorHAnsi" w:cstheme="minorBidi"/>
                <w:bCs w:val="0"/>
                <w:webHidden/>
              </w:rPr>
              <w:fldChar w:fldCharType="end"/>
            </w:r>
          </w:hyperlink>
        </w:p>
        <w:p w14:paraId="567A4A05"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35" w:history="1">
            <w:r w:rsidR="003F4309" w:rsidRPr="003F4309">
              <w:rPr>
                <w:rFonts w:asciiTheme="minorHAnsi" w:eastAsia="Calibri" w:hAnsiTheme="minorHAnsi" w:cstheme="minorBidi"/>
                <w:bCs w:val="0"/>
                <w:color w:val="595959" w:themeColor="text1" w:themeTint="A6"/>
              </w:rPr>
              <w:t>Οι αποδόσεις των δεκαετών τίτλων</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_Toc98160535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31</w:t>
            </w:r>
            <w:r w:rsidR="009B7AD0" w:rsidRPr="003F4309">
              <w:rPr>
                <w:rFonts w:asciiTheme="minorHAnsi" w:eastAsia="Calibri" w:hAnsiTheme="minorHAnsi" w:cstheme="minorBidi"/>
                <w:bCs w:val="0"/>
                <w:webHidden/>
                <w:color w:val="595959" w:themeColor="text1" w:themeTint="A6"/>
              </w:rPr>
              <w:fldChar w:fldCharType="end"/>
            </w:r>
          </w:hyperlink>
        </w:p>
        <w:p w14:paraId="2C7690C9"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36" w:history="1">
            <w:r w:rsidR="003F4309" w:rsidRPr="003F4309">
              <w:rPr>
                <w:rFonts w:asciiTheme="minorHAnsi" w:eastAsia="Calibri" w:hAnsiTheme="minorHAnsi" w:cstheme="minorBidi"/>
                <w:bCs w:val="0"/>
                <w:color w:val="595959" w:themeColor="text1" w:themeTint="A6"/>
              </w:rPr>
              <w:t>Η έκδοση του δεκαετούς ομολόγου</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_Toc98160536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32</w:t>
            </w:r>
            <w:r w:rsidR="009B7AD0" w:rsidRPr="003F4309">
              <w:rPr>
                <w:rFonts w:asciiTheme="minorHAnsi" w:eastAsia="Calibri" w:hAnsiTheme="minorHAnsi" w:cstheme="minorBidi"/>
                <w:bCs w:val="0"/>
                <w:webHidden/>
                <w:color w:val="595959" w:themeColor="text1" w:themeTint="A6"/>
              </w:rPr>
              <w:fldChar w:fldCharType="end"/>
            </w:r>
          </w:hyperlink>
        </w:p>
        <w:p w14:paraId="5B9D493B" w14:textId="77777777" w:rsidR="003F4309" w:rsidRPr="003F4309" w:rsidRDefault="0059099F">
          <w:pPr>
            <w:pStyle w:val="TOC3"/>
            <w:rPr>
              <w:rFonts w:asciiTheme="minorHAnsi" w:eastAsia="Calibri" w:hAnsiTheme="minorHAnsi" w:cstheme="minorBidi"/>
              <w:bCs w:val="0"/>
              <w:color w:val="595959" w:themeColor="text1" w:themeTint="A6"/>
            </w:rPr>
          </w:pPr>
          <w:hyperlink w:anchor="_Toc98160537" w:history="1">
            <w:r w:rsidR="003F4309" w:rsidRPr="003F4309">
              <w:rPr>
                <w:rFonts w:asciiTheme="minorHAnsi" w:eastAsia="Calibri" w:hAnsiTheme="minorHAnsi" w:cstheme="minorBidi"/>
                <w:bCs w:val="0"/>
                <w:color w:val="595959" w:themeColor="text1" w:themeTint="A6"/>
              </w:rPr>
              <w:t>Εκδόσεις εντόκων γραμματίων</w:t>
            </w:r>
            <w:r w:rsidR="003F4309" w:rsidRPr="003F4309">
              <w:rPr>
                <w:rFonts w:asciiTheme="minorHAnsi" w:eastAsia="Calibri" w:hAnsiTheme="minorHAnsi" w:cstheme="minorBidi"/>
                <w:bCs w:val="0"/>
                <w:webHidden/>
                <w:color w:val="595959" w:themeColor="text1" w:themeTint="A6"/>
              </w:rPr>
              <w:tab/>
            </w:r>
            <w:r w:rsidR="009B7AD0" w:rsidRPr="003F4309">
              <w:rPr>
                <w:rFonts w:asciiTheme="minorHAnsi" w:eastAsia="Calibri" w:hAnsiTheme="minorHAnsi" w:cstheme="minorBidi"/>
                <w:bCs w:val="0"/>
                <w:webHidden/>
                <w:color w:val="595959" w:themeColor="text1" w:themeTint="A6"/>
              </w:rPr>
              <w:fldChar w:fldCharType="begin"/>
            </w:r>
            <w:r w:rsidR="003F4309" w:rsidRPr="003F4309">
              <w:rPr>
                <w:rFonts w:asciiTheme="minorHAnsi" w:eastAsia="Calibri" w:hAnsiTheme="minorHAnsi" w:cstheme="minorBidi"/>
                <w:bCs w:val="0"/>
                <w:webHidden/>
                <w:color w:val="595959" w:themeColor="text1" w:themeTint="A6"/>
              </w:rPr>
              <w:instrText xml:space="preserve"> PAGEREF _Toc98160537 \h </w:instrText>
            </w:r>
            <w:r w:rsidR="009B7AD0" w:rsidRPr="003F4309">
              <w:rPr>
                <w:rFonts w:asciiTheme="minorHAnsi" w:eastAsia="Calibri" w:hAnsiTheme="minorHAnsi" w:cstheme="minorBidi"/>
                <w:bCs w:val="0"/>
                <w:webHidden/>
                <w:color w:val="595959" w:themeColor="text1" w:themeTint="A6"/>
              </w:rPr>
            </w:r>
            <w:r w:rsidR="009B7AD0" w:rsidRPr="003F4309">
              <w:rPr>
                <w:rFonts w:asciiTheme="minorHAnsi" w:eastAsia="Calibri" w:hAnsiTheme="minorHAnsi" w:cstheme="minorBidi"/>
                <w:bCs w:val="0"/>
                <w:webHidden/>
                <w:color w:val="595959" w:themeColor="text1" w:themeTint="A6"/>
              </w:rPr>
              <w:fldChar w:fldCharType="separate"/>
            </w:r>
            <w:r w:rsidR="00E96363">
              <w:rPr>
                <w:rFonts w:asciiTheme="minorHAnsi" w:eastAsia="Calibri" w:hAnsiTheme="minorHAnsi" w:cstheme="minorBidi"/>
                <w:bCs w:val="0"/>
                <w:webHidden/>
                <w:color w:val="595959" w:themeColor="text1" w:themeTint="A6"/>
              </w:rPr>
              <w:t>33</w:t>
            </w:r>
            <w:r w:rsidR="009B7AD0" w:rsidRPr="003F4309">
              <w:rPr>
                <w:rFonts w:asciiTheme="minorHAnsi" w:eastAsia="Calibri" w:hAnsiTheme="minorHAnsi" w:cstheme="minorBidi"/>
                <w:bCs w:val="0"/>
                <w:webHidden/>
                <w:color w:val="595959" w:themeColor="text1" w:themeTint="A6"/>
              </w:rPr>
              <w:fldChar w:fldCharType="end"/>
            </w:r>
          </w:hyperlink>
        </w:p>
        <w:p w14:paraId="3C0F50F3" w14:textId="77777777" w:rsidR="003F4309" w:rsidRPr="003F4309" w:rsidRDefault="0059099F" w:rsidP="003F4309">
          <w:pPr>
            <w:pStyle w:val="TOC1"/>
            <w:rPr>
              <w:noProof/>
            </w:rPr>
          </w:pPr>
          <w:hyperlink w:anchor="_Toc98160538" w:history="1">
            <w:r w:rsidR="003F4309" w:rsidRPr="003F4309">
              <w:rPr>
                <w:noProof/>
              </w:rPr>
              <w:t>3. Διαρθρωτικές εξελίξεις</w:t>
            </w:r>
            <w:r w:rsidR="003F4309" w:rsidRPr="003F4309">
              <w:rPr>
                <w:noProof/>
                <w:webHidden/>
              </w:rPr>
              <w:tab/>
            </w:r>
            <w:r w:rsidR="009B7AD0" w:rsidRPr="003F4309">
              <w:rPr>
                <w:noProof/>
                <w:webHidden/>
              </w:rPr>
              <w:fldChar w:fldCharType="begin"/>
            </w:r>
            <w:r w:rsidR="003F4309" w:rsidRPr="003F4309">
              <w:rPr>
                <w:noProof/>
                <w:webHidden/>
              </w:rPr>
              <w:instrText xml:space="preserve"> PAGEREF _Toc98160538 \h </w:instrText>
            </w:r>
            <w:r w:rsidR="009B7AD0" w:rsidRPr="003F4309">
              <w:rPr>
                <w:noProof/>
                <w:webHidden/>
              </w:rPr>
            </w:r>
            <w:r w:rsidR="009B7AD0" w:rsidRPr="003F4309">
              <w:rPr>
                <w:noProof/>
                <w:webHidden/>
              </w:rPr>
              <w:fldChar w:fldCharType="separate"/>
            </w:r>
            <w:r w:rsidR="00E96363">
              <w:rPr>
                <w:noProof/>
                <w:webHidden/>
              </w:rPr>
              <w:t>34</w:t>
            </w:r>
            <w:r w:rsidR="009B7AD0" w:rsidRPr="003F4309">
              <w:rPr>
                <w:noProof/>
                <w:webHidden/>
              </w:rPr>
              <w:fldChar w:fldCharType="end"/>
            </w:r>
          </w:hyperlink>
        </w:p>
        <w:p w14:paraId="32A13F10" w14:textId="77777777" w:rsidR="003F4309" w:rsidRPr="003F4309" w:rsidRDefault="0059099F">
          <w:pPr>
            <w:pStyle w:val="TOC2"/>
            <w:rPr>
              <w:rFonts w:asciiTheme="minorHAnsi" w:eastAsia="Calibri" w:hAnsiTheme="minorHAnsi" w:cstheme="minorBidi"/>
              <w:bCs w:val="0"/>
            </w:rPr>
          </w:pPr>
          <w:hyperlink w:anchor="_Toc98160539" w:history="1">
            <w:r w:rsidR="003F4309" w:rsidRPr="003F4309">
              <w:rPr>
                <w:rFonts w:asciiTheme="minorHAnsi" w:eastAsia="Calibri" w:hAnsiTheme="minorHAnsi" w:cstheme="minorBidi"/>
                <w:bCs w:val="0"/>
              </w:rPr>
              <w:t>3.1. Κοινωνική ασφάλιση</w:t>
            </w:r>
            <w:r w:rsidR="003F4309" w:rsidRPr="003F4309">
              <w:rPr>
                <w:rFonts w:asciiTheme="minorHAnsi" w:eastAsia="Calibri" w:hAnsiTheme="minorHAnsi" w:cstheme="minorBidi"/>
                <w:bCs w:val="0"/>
                <w:webHidden/>
              </w:rPr>
              <w:tab/>
            </w:r>
            <w:r w:rsidR="009B7AD0" w:rsidRPr="003F4309">
              <w:rPr>
                <w:rFonts w:asciiTheme="minorHAnsi" w:eastAsia="Calibri" w:hAnsiTheme="minorHAnsi" w:cstheme="minorBidi"/>
                <w:bCs w:val="0"/>
                <w:webHidden/>
              </w:rPr>
              <w:fldChar w:fldCharType="begin"/>
            </w:r>
            <w:r w:rsidR="003F4309" w:rsidRPr="003F4309">
              <w:rPr>
                <w:rFonts w:asciiTheme="minorHAnsi" w:eastAsia="Calibri" w:hAnsiTheme="minorHAnsi" w:cstheme="minorBidi"/>
                <w:bCs w:val="0"/>
                <w:webHidden/>
              </w:rPr>
              <w:instrText xml:space="preserve"> PAGEREF _Toc98160539 \h </w:instrText>
            </w:r>
            <w:r w:rsidR="009B7AD0" w:rsidRPr="003F4309">
              <w:rPr>
                <w:rFonts w:asciiTheme="minorHAnsi" w:eastAsia="Calibri" w:hAnsiTheme="minorHAnsi" w:cstheme="minorBidi"/>
                <w:bCs w:val="0"/>
                <w:webHidden/>
              </w:rPr>
            </w:r>
            <w:r w:rsidR="009B7AD0" w:rsidRPr="003F4309">
              <w:rPr>
                <w:rFonts w:asciiTheme="minorHAnsi" w:eastAsia="Calibri" w:hAnsiTheme="minorHAnsi" w:cstheme="minorBidi"/>
                <w:bCs w:val="0"/>
                <w:webHidden/>
              </w:rPr>
              <w:fldChar w:fldCharType="separate"/>
            </w:r>
            <w:r w:rsidR="00E96363">
              <w:rPr>
                <w:rFonts w:asciiTheme="minorHAnsi" w:eastAsia="Calibri" w:hAnsiTheme="minorHAnsi" w:cstheme="minorBidi"/>
                <w:bCs w:val="0"/>
                <w:webHidden/>
              </w:rPr>
              <w:t>34</w:t>
            </w:r>
            <w:r w:rsidR="009B7AD0" w:rsidRPr="003F4309">
              <w:rPr>
                <w:rFonts w:asciiTheme="minorHAnsi" w:eastAsia="Calibri" w:hAnsiTheme="minorHAnsi" w:cstheme="minorBidi"/>
                <w:bCs w:val="0"/>
                <w:webHidden/>
              </w:rPr>
              <w:fldChar w:fldCharType="end"/>
            </w:r>
          </w:hyperlink>
        </w:p>
        <w:p w14:paraId="6EFD18E9" w14:textId="77777777" w:rsidR="003F4309" w:rsidRPr="003F4309" w:rsidRDefault="0059099F">
          <w:pPr>
            <w:pStyle w:val="TOC2"/>
            <w:rPr>
              <w:rFonts w:asciiTheme="minorHAnsi" w:eastAsia="Calibri" w:hAnsiTheme="minorHAnsi" w:cstheme="minorBidi"/>
              <w:bCs w:val="0"/>
            </w:rPr>
          </w:pPr>
          <w:hyperlink w:anchor="_Toc98160540" w:history="1">
            <w:r w:rsidR="003F4309" w:rsidRPr="003F4309">
              <w:rPr>
                <w:rFonts w:asciiTheme="minorHAnsi" w:eastAsia="Calibri" w:hAnsiTheme="minorHAnsi" w:cstheme="minorBidi"/>
                <w:bCs w:val="0"/>
              </w:rPr>
              <w:t>3.2. Κοινωνική πρόνοια</w:t>
            </w:r>
            <w:r w:rsidR="003F4309" w:rsidRPr="003F4309">
              <w:rPr>
                <w:rFonts w:asciiTheme="minorHAnsi" w:eastAsia="Calibri" w:hAnsiTheme="minorHAnsi" w:cstheme="minorBidi"/>
                <w:bCs w:val="0"/>
                <w:webHidden/>
              </w:rPr>
              <w:tab/>
            </w:r>
            <w:r w:rsidR="009B7AD0" w:rsidRPr="003F4309">
              <w:rPr>
                <w:rFonts w:asciiTheme="minorHAnsi" w:eastAsia="Calibri" w:hAnsiTheme="minorHAnsi" w:cstheme="minorBidi"/>
                <w:bCs w:val="0"/>
                <w:webHidden/>
              </w:rPr>
              <w:fldChar w:fldCharType="begin"/>
            </w:r>
            <w:r w:rsidR="003F4309" w:rsidRPr="003F4309">
              <w:rPr>
                <w:rFonts w:asciiTheme="minorHAnsi" w:eastAsia="Calibri" w:hAnsiTheme="minorHAnsi" w:cstheme="minorBidi"/>
                <w:bCs w:val="0"/>
                <w:webHidden/>
              </w:rPr>
              <w:instrText xml:space="preserve"> PAGEREF _Toc98160540 \h </w:instrText>
            </w:r>
            <w:r w:rsidR="009B7AD0" w:rsidRPr="003F4309">
              <w:rPr>
                <w:rFonts w:asciiTheme="minorHAnsi" w:eastAsia="Calibri" w:hAnsiTheme="minorHAnsi" w:cstheme="minorBidi"/>
                <w:bCs w:val="0"/>
                <w:webHidden/>
              </w:rPr>
            </w:r>
            <w:r w:rsidR="009B7AD0" w:rsidRPr="003F4309">
              <w:rPr>
                <w:rFonts w:asciiTheme="minorHAnsi" w:eastAsia="Calibri" w:hAnsiTheme="minorHAnsi" w:cstheme="minorBidi"/>
                <w:bCs w:val="0"/>
                <w:webHidden/>
              </w:rPr>
              <w:fldChar w:fldCharType="separate"/>
            </w:r>
            <w:r w:rsidR="00E96363">
              <w:rPr>
                <w:rFonts w:asciiTheme="minorHAnsi" w:eastAsia="Calibri" w:hAnsiTheme="minorHAnsi" w:cstheme="minorBidi"/>
                <w:bCs w:val="0"/>
                <w:webHidden/>
              </w:rPr>
              <w:t>37</w:t>
            </w:r>
            <w:r w:rsidR="009B7AD0" w:rsidRPr="003F4309">
              <w:rPr>
                <w:rFonts w:asciiTheme="minorHAnsi" w:eastAsia="Calibri" w:hAnsiTheme="minorHAnsi" w:cstheme="minorBidi"/>
                <w:bCs w:val="0"/>
                <w:webHidden/>
              </w:rPr>
              <w:fldChar w:fldCharType="end"/>
            </w:r>
          </w:hyperlink>
        </w:p>
        <w:p w14:paraId="7EB18326" w14:textId="77777777" w:rsidR="003F4309" w:rsidRPr="003F4309" w:rsidRDefault="0059099F">
          <w:pPr>
            <w:pStyle w:val="TOC2"/>
            <w:rPr>
              <w:rFonts w:asciiTheme="minorHAnsi" w:eastAsia="Calibri" w:hAnsiTheme="minorHAnsi" w:cstheme="minorBidi"/>
              <w:bCs w:val="0"/>
            </w:rPr>
          </w:pPr>
          <w:hyperlink w:anchor="_Toc98160541" w:history="1">
            <w:r w:rsidR="003F4309" w:rsidRPr="003F4309">
              <w:rPr>
                <w:rFonts w:asciiTheme="minorHAnsi" w:eastAsia="Calibri" w:hAnsiTheme="minorHAnsi" w:cstheme="minorBidi"/>
                <w:bCs w:val="0"/>
              </w:rPr>
              <w:t>3.3. Αποκρατικοποιήσεις</w:t>
            </w:r>
            <w:r w:rsidR="003F4309" w:rsidRPr="003F4309">
              <w:rPr>
                <w:rFonts w:asciiTheme="minorHAnsi" w:eastAsia="Calibri" w:hAnsiTheme="minorHAnsi" w:cstheme="minorBidi"/>
                <w:bCs w:val="0"/>
                <w:webHidden/>
              </w:rPr>
              <w:tab/>
            </w:r>
            <w:r w:rsidR="009B7AD0" w:rsidRPr="003F4309">
              <w:rPr>
                <w:rFonts w:asciiTheme="minorHAnsi" w:eastAsia="Calibri" w:hAnsiTheme="minorHAnsi" w:cstheme="minorBidi"/>
                <w:bCs w:val="0"/>
                <w:webHidden/>
              </w:rPr>
              <w:fldChar w:fldCharType="begin"/>
            </w:r>
            <w:r w:rsidR="003F4309" w:rsidRPr="003F4309">
              <w:rPr>
                <w:rFonts w:asciiTheme="minorHAnsi" w:eastAsia="Calibri" w:hAnsiTheme="minorHAnsi" w:cstheme="minorBidi"/>
                <w:bCs w:val="0"/>
                <w:webHidden/>
              </w:rPr>
              <w:instrText xml:space="preserve"> PAGEREF _Toc98160541 \h </w:instrText>
            </w:r>
            <w:r w:rsidR="009B7AD0" w:rsidRPr="003F4309">
              <w:rPr>
                <w:rFonts w:asciiTheme="minorHAnsi" w:eastAsia="Calibri" w:hAnsiTheme="minorHAnsi" w:cstheme="minorBidi"/>
                <w:bCs w:val="0"/>
                <w:webHidden/>
              </w:rPr>
            </w:r>
            <w:r w:rsidR="009B7AD0" w:rsidRPr="003F4309">
              <w:rPr>
                <w:rFonts w:asciiTheme="minorHAnsi" w:eastAsia="Calibri" w:hAnsiTheme="minorHAnsi" w:cstheme="minorBidi"/>
                <w:bCs w:val="0"/>
                <w:webHidden/>
              </w:rPr>
              <w:fldChar w:fldCharType="separate"/>
            </w:r>
            <w:r w:rsidR="00E96363">
              <w:rPr>
                <w:rFonts w:asciiTheme="minorHAnsi" w:eastAsia="Calibri" w:hAnsiTheme="minorHAnsi" w:cstheme="minorBidi"/>
                <w:bCs w:val="0"/>
                <w:webHidden/>
              </w:rPr>
              <w:t>38</w:t>
            </w:r>
            <w:r w:rsidR="009B7AD0" w:rsidRPr="003F4309">
              <w:rPr>
                <w:rFonts w:asciiTheme="minorHAnsi" w:eastAsia="Calibri" w:hAnsiTheme="minorHAnsi" w:cstheme="minorBidi"/>
                <w:bCs w:val="0"/>
                <w:webHidden/>
              </w:rPr>
              <w:fldChar w:fldCharType="end"/>
            </w:r>
          </w:hyperlink>
        </w:p>
        <w:p w14:paraId="7B014735" w14:textId="77777777" w:rsidR="000B5FDF" w:rsidRPr="002F680F" w:rsidRDefault="009B7AD0" w:rsidP="00C1085B">
          <w:pPr>
            <w:spacing w:line="240" w:lineRule="auto"/>
            <w:jc w:val="both"/>
          </w:pPr>
          <w:r w:rsidRPr="00272080">
            <w:rPr>
              <w:rFonts w:eastAsia="Calibri"/>
              <w:color w:val="595959" w:themeColor="text1" w:themeTint="A6"/>
            </w:rPr>
            <w:fldChar w:fldCharType="end"/>
          </w:r>
        </w:p>
      </w:sdtContent>
    </w:sdt>
    <w:p w14:paraId="7B15A693" w14:textId="77777777" w:rsidR="00E02833" w:rsidRDefault="00E02833" w:rsidP="005A6A28">
      <w:pPr>
        <w:spacing w:line="240" w:lineRule="auto"/>
        <w:rPr>
          <w:rFonts w:asciiTheme="majorHAnsi" w:hAnsiTheme="majorHAnsi" w:cstheme="majorHAnsi"/>
          <w:b/>
          <w:color w:val="595959" w:themeColor="text1" w:themeTint="A6"/>
        </w:rPr>
      </w:pPr>
    </w:p>
    <w:p w14:paraId="08A44C04" w14:textId="77777777" w:rsidR="00E140BC" w:rsidRDefault="00E140BC" w:rsidP="005A6A28">
      <w:pPr>
        <w:spacing w:line="240" w:lineRule="auto"/>
        <w:rPr>
          <w:rFonts w:asciiTheme="majorHAnsi" w:hAnsiTheme="majorHAnsi" w:cstheme="majorHAnsi"/>
          <w:b/>
          <w:color w:val="595959" w:themeColor="text1" w:themeTint="A6"/>
        </w:rPr>
      </w:pPr>
    </w:p>
    <w:p w14:paraId="2204FD9C" w14:textId="77777777" w:rsidR="00524C20" w:rsidRDefault="00524C20" w:rsidP="005A6A28">
      <w:pPr>
        <w:spacing w:line="240" w:lineRule="auto"/>
        <w:rPr>
          <w:rFonts w:asciiTheme="majorHAnsi" w:hAnsiTheme="majorHAnsi" w:cstheme="majorHAnsi"/>
          <w:b/>
          <w:color w:val="595959" w:themeColor="text1" w:themeTint="A6"/>
        </w:rPr>
      </w:pPr>
    </w:p>
    <w:p w14:paraId="34822071" w14:textId="77777777" w:rsidR="00524C20" w:rsidRDefault="00524C20" w:rsidP="005A6A28">
      <w:pPr>
        <w:spacing w:line="240" w:lineRule="auto"/>
        <w:rPr>
          <w:rFonts w:asciiTheme="majorHAnsi" w:hAnsiTheme="majorHAnsi" w:cstheme="majorHAnsi"/>
          <w:b/>
          <w:color w:val="595959" w:themeColor="text1" w:themeTint="A6"/>
        </w:rPr>
      </w:pPr>
    </w:p>
    <w:p w14:paraId="7F234F8F" w14:textId="77777777" w:rsidR="00F42785" w:rsidRPr="001853D9" w:rsidRDefault="00F42785" w:rsidP="005A6A28">
      <w:pPr>
        <w:spacing w:line="240" w:lineRule="auto"/>
        <w:rPr>
          <w:rFonts w:asciiTheme="majorHAnsi" w:hAnsiTheme="majorHAnsi" w:cstheme="majorHAnsi"/>
          <w:color w:val="595959" w:themeColor="text1" w:themeTint="A6"/>
          <w:lang w:bidi="he-IL"/>
        </w:rPr>
      </w:pPr>
      <w:r w:rsidRPr="001853D9">
        <w:rPr>
          <w:rFonts w:asciiTheme="majorHAnsi" w:hAnsiTheme="majorHAnsi" w:cstheme="majorHAnsi"/>
          <w:b/>
          <w:color w:val="595959" w:themeColor="text1" w:themeTint="A6"/>
        </w:rPr>
        <w:t>Ευρετήριο πινάκων</w:t>
      </w:r>
    </w:p>
    <w:p w14:paraId="08B03037" w14:textId="77777777" w:rsidR="003F4309" w:rsidRPr="003F4309" w:rsidRDefault="009B7AD0" w:rsidP="003F4309">
      <w:pPr>
        <w:pStyle w:val="TableofFigures"/>
        <w:tabs>
          <w:tab w:val="right" w:leader="dot" w:pos="8296"/>
        </w:tabs>
        <w:spacing w:line="276" w:lineRule="auto"/>
        <w:jc w:val="both"/>
        <w:rPr>
          <w:rFonts w:eastAsia="Calibri"/>
          <w:noProof/>
          <w:color w:val="595959" w:themeColor="text1" w:themeTint="A6"/>
        </w:rPr>
      </w:pPr>
      <w:r w:rsidRPr="00573885">
        <w:rPr>
          <w:rFonts w:eastAsia="Calibri"/>
          <w:color w:val="595959" w:themeColor="text1" w:themeTint="A6"/>
        </w:rPr>
        <w:fldChar w:fldCharType="begin"/>
      </w:r>
      <w:r w:rsidR="00C16ED5" w:rsidRPr="00573885">
        <w:rPr>
          <w:rFonts w:eastAsia="Calibri"/>
          <w:color w:val="595959" w:themeColor="text1" w:themeTint="A6"/>
        </w:rPr>
        <w:instrText xml:space="preserve"> TOC \h \z \c "Πίνακας" </w:instrText>
      </w:r>
      <w:r w:rsidRPr="00573885">
        <w:rPr>
          <w:rFonts w:eastAsia="Calibri"/>
          <w:color w:val="595959" w:themeColor="text1" w:themeTint="A6"/>
        </w:rPr>
        <w:fldChar w:fldCharType="separate"/>
      </w:r>
      <w:hyperlink w:anchor="_Toc98160544" w:history="1">
        <w:r w:rsidR="003F4309" w:rsidRPr="003F4309">
          <w:rPr>
            <w:rFonts w:eastAsia="Calibri"/>
            <w:noProof/>
            <w:color w:val="595959" w:themeColor="text1" w:themeTint="A6"/>
          </w:rPr>
          <w:t>Πίνακας 1 ΑΕΠ και συνιστώσες, ποσοστιαίες μεταβολές (%)</w:t>
        </w:r>
        <w:r w:rsidR="003F4309" w:rsidRPr="003F4309">
          <w:rPr>
            <w:rFonts w:eastAsia="Calibri"/>
            <w:noProof/>
            <w:webHidden/>
            <w:color w:val="595959" w:themeColor="text1" w:themeTint="A6"/>
          </w:rPr>
          <w:tab/>
        </w:r>
        <w:r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_Toc98160544 \h </w:instrText>
        </w:r>
        <w:r w:rsidRPr="003F4309">
          <w:rPr>
            <w:rFonts w:eastAsia="Calibri"/>
            <w:noProof/>
            <w:webHidden/>
            <w:color w:val="595959" w:themeColor="text1" w:themeTint="A6"/>
          </w:rPr>
        </w:r>
        <w:r w:rsidRPr="003F4309">
          <w:rPr>
            <w:rFonts w:eastAsia="Calibri"/>
            <w:noProof/>
            <w:webHidden/>
            <w:color w:val="595959" w:themeColor="text1" w:themeTint="A6"/>
          </w:rPr>
          <w:fldChar w:fldCharType="separate"/>
        </w:r>
        <w:r w:rsidR="00E96363">
          <w:rPr>
            <w:rFonts w:eastAsia="Calibri"/>
            <w:noProof/>
            <w:webHidden/>
            <w:color w:val="595959" w:themeColor="text1" w:themeTint="A6"/>
          </w:rPr>
          <w:t>13</w:t>
        </w:r>
        <w:r w:rsidRPr="003F4309">
          <w:rPr>
            <w:rFonts w:eastAsia="Calibri"/>
            <w:noProof/>
            <w:webHidden/>
            <w:color w:val="595959" w:themeColor="text1" w:themeTint="A6"/>
          </w:rPr>
          <w:fldChar w:fldCharType="end"/>
        </w:r>
      </w:hyperlink>
    </w:p>
    <w:p w14:paraId="6A366CD8"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45" w:history="1">
        <w:r w:rsidR="003F4309" w:rsidRPr="003F4309">
          <w:rPr>
            <w:rFonts w:eastAsia="Calibri"/>
            <w:noProof/>
            <w:color w:val="595959" w:themeColor="text1" w:themeTint="A6"/>
          </w:rPr>
          <w:t>Πίνακας 2 Βασικές Υποθέσεις, Σενάρια και Προβλέψεις</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_Toc98160545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16</w:t>
        </w:r>
        <w:r w:rsidR="009B7AD0" w:rsidRPr="003F4309">
          <w:rPr>
            <w:rFonts w:eastAsia="Calibri"/>
            <w:noProof/>
            <w:webHidden/>
            <w:color w:val="595959" w:themeColor="text1" w:themeTint="A6"/>
          </w:rPr>
          <w:fldChar w:fldCharType="end"/>
        </w:r>
      </w:hyperlink>
    </w:p>
    <w:p w14:paraId="44FA8385"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46" w:history="1">
        <w:r w:rsidR="003F4309" w:rsidRPr="003F4309">
          <w:rPr>
            <w:rFonts w:eastAsia="Calibri"/>
            <w:noProof/>
            <w:color w:val="595959" w:themeColor="text1" w:themeTint="A6"/>
          </w:rPr>
          <w:t>Πίνακας 3 Εκτέλεση Προϋπολογισμού Γενικής Κυβέρνησης Ιανουαρίου - Δεκεμβρίου, σε εκατ. ευρώ</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_Toc98160546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23</w:t>
        </w:r>
        <w:r w:rsidR="009B7AD0" w:rsidRPr="003F4309">
          <w:rPr>
            <w:rFonts w:eastAsia="Calibri"/>
            <w:noProof/>
            <w:webHidden/>
            <w:color w:val="595959" w:themeColor="text1" w:themeTint="A6"/>
          </w:rPr>
          <w:fldChar w:fldCharType="end"/>
        </w:r>
      </w:hyperlink>
    </w:p>
    <w:p w14:paraId="5994521E"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47" w:history="1">
        <w:r w:rsidR="003F4309" w:rsidRPr="003F4309">
          <w:rPr>
            <w:rFonts w:eastAsia="Calibri"/>
            <w:noProof/>
            <w:color w:val="595959" w:themeColor="text1" w:themeTint="A6"/>
          </w:rPr>
          <w:t>Πίνακας 4 Κατανομή πλήθους οφειλετών με χρέη προς τη Φορολογική Διοίκηση</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_Toc98160547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29</w:t>
        </w:r>
        <w:r w:rsidR="009B7AD0" w:rsidRPr="003F4309">
          <w:rPr>
            <w:rFonts w:eastAsia="Calibri"/>
            <w:noProof/>
            <w:webHidden/>
            <w:color w:val="595959" w:themeColor="text1" w:themeTint="A6"/>
          </w:rPr>
          <w:fldChar w:fldCharType="end"/>
        </w:r>
      </w:hyperlink>
    </w:p>
    <w:p w14:paraId="2A1F29B5"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48" w:history="1">
        <w:r w:rsidR="003F4309" w:rsidRPr="003F4309">
          <w:rPr>
            <w:rFonts w:eastAsia="Calibri"/>
            <w:noProof/>
            <w:color w:val="595959" w:themeColor="text1" w:themeTint="A6"/>
          </w:rPr>
          <w:t>Πίνακας 5 Κατανομή ληξιπρόθεσμων οφειλών προς τη Φορολογική Διοίκηση, σε εκατ. ευρώ</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_Toc98160548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30</w:t>
        </w:r>
        <w:r w:rsidR="009B7AD0" w:rsidRPr="003F4309">
          <w:rPr>
            <w:rFonts w:eastAsia="Calibri"/>
            <w:noProof/>
            <w:webHidden/>
            <w:color w:val="595959" w:themeColor="text1" w:themeTint="A6"/>
          </w:rPr>
          <w:fldChar w:fldCharType="end"/>
        </w:r>
      </w:hyperlink>
    </w:p>
    <w:p w14:paraId="088FD24F"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49" w:history="1">
        <w:r w:rsidR="003F4309" w:rsidRPr="003F4309">
          <w:rPr>
            <w:rFonts w:eastAsia="Calibri"/>
            <w:noProof/>
            <w:color w:val="595959" w:themeColor="text1" w:themeTint="A6"/>
          </w:rPr>
          <w:t>Πίνακας 6 Κατανομή πλήθους μητρώων οφειλετών με χρέη προς τους Φορείς Κοινωνικής Ασφάλισης</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_Toc98160549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31</w:t>
        </w:r>
        <w:r w:rsidR="009B7AD0" w:rsidRPr="003F4309">
          <w:rPr>
            <w:rFonts w:eastAsia="Calibri"/>
            <w:noProof/>
            <w:webHidden/>
            <w:color w:val="595959" w:themeColor="text1" w:themeTint="A6"/>
          </w:rPr>
          <w:fldChar w:fldCharType="end"/>
        </w:r>
      </w:hyperlink>
    </w:p>
    <w:p w14:paraId="1083D41A"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50" w:history="1">
        <w:r w:rsidR="003F4309" w:rsidRPr="003F4309">
          <w:rPr>
            <w:rFonts w:eastAsia="Calibri"/>
            <w:noProof/>
            <w:color w:val="595959" w:themeColor="text1" w:themeTint="A6"/>
          </w:rPr>
          <w:t>Πίνακας 7 Κατανομή κύριων οφειλών προς τους Φορείς Κοινωνικής Ασφάλισης, σε εκατ. ευρώ</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_Toc98160550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31</w:t>
        </w:r>
        <w:r w:rsidR="009B7AD0" w:rsidRPr="003F4309">
          <w:rPr>
            <w:rFonts w:eastAsia="Calibri"/>
            <w:noProof/>
            <w:webHidden/>
            <w:color w:val="595959" w:themeColor="text1" w:themeTint="A6"/>
          </w:rPr>
          <w:fldChar w:fldCharType="end"/>
        </w:r>
      </w:hyperlink>
    </w:p>
    <w:p w14:paraId="2C6CB426"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51" w:history="1">
        <w:r w:rsidR="003F4309" w:rsidRPr="003F4309">
          <w:rPr>
            <w:rFonts w:eastAsia="Calibri"/>
            <w:noProof/>
            <w:color w:val="595959" w:themeColor="text1" w:themeTint="A6"/>
          </w:rPr>
          <w:t>Πίνακας 8 Εκτέλεση προϋπολογισμού κοινωνικής ασφάλισης, Ιανουάριος – Δεκέμβριος 2021, σε εκατ. ευρώ</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_Toc98160551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34</w:t>
        </w:r>
        <w:r w:rsidR="009B7AD0" w:rsidRPr="003F4309">
          <w:rPr>
            <w:rFonts w:eastAsia="Calibri"/>
            <w:noProof/>
            <w:webHidden/>
            <w:color w:val="595959" w:themeColor="text1" w:themeTint="A6"/>
          </w:rPr>
          <w:fldChar w:fldCharType="end"/>
        </w:r>
      </w:hyperlink>
    </w:p>
    <w:p w14:paraId="6147F350"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52" w:history="1">
        <w:r w:rsidR="003F4309" w:rsidRPr="003F4309">
          <w:rPr>
            <w:rFonts w:eastAsia="Calibri"/>
            <w:noProof/>
            <w:color w:val="595959" w:themeColor="text1" w:themeTint="A6"/>
          </w:rPr>
          <w:t>Πίνακας 9</w:t>
        </w:r>
        <w:r w:rsidR="003F4309" w:rsidRPr="003F4309">
          <w:rPr>
            <w:noProof/>
            <w:color w:val="595959" w:themeColor="text1" w:themeTint="A6"/>
          </w:rPr>
          <w:t xml:space="preserve"> Αριθμός και εκτιμώμενα ποσά εκκρεμών και ληξιπρόθεσμων αιτήσεων συνταξιοδότησης στο τέλος κάθε τρίμηνου κατά τα έτη 2019-2021 (ποσά σε ευρώ)</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_Toc98160552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35</w:t>
        </w:r>
        <w:r w:rsidR="009B7AD0" w:rsidRPr="003F4309">
          <w:rPr>
            <w:rFonts w:eastAsia="Calibri"/>
            <w:noProof/>
            <w:webHidden/>
            <w:color w:val="595959" w:themeColor="text1" w:themeTint="A6"/>
          </w:rPr>
          <w:fldChar w:fldCharType="end"/>
        </w:r>
      </w:hyperlink>
    </w:p>
    <w:p w14:paraId="204E3847"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53" w:history="1">
        <w:r w:rsidR="003F4309" w:rsidRPr="003F4309">
          <w:rPr>
            <w:rFonts w:eastAsia="Calibri"/>
            <w:noProof/>
            <w:color w:val="595959" w:themeColor="text1" w:themeTint="A6"/>
          </w:rPr>
          <w:t>Πίνακας 10 Αριθμός εκκρεμών και ληξιπρόθεσμων αιτήσεων συνταξιοδότησης (επικουρικής σύνταξης)  στο τέλος κάθε μήνα, Απρίλιος – Δεκέμβριος 2021 (ποσά σε ευρώ)</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_Toc98160553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36</w:t>
        </w:r>
        <w:r w:rsidR="009B7AD0" w:rsidRPr="003F4309">
          <w:rPr>
            <w:rFonts w:eastAsia="Calibri"/>
            <w:noProof/>
            <w:webHidden/>
            <w:color w:val="595959" w:themeColor="text1" w:themeTint="A6"/>
          </w:rPr>
          <w:fldChar w:fldCharType="end"/>
        </w:r>
      </w:hyperlink>
    </w:p>
    <w:p w14:paraId="73D1CB10"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54" w:history="1">
        <w:r w:rsidR="003F4309" w:rsidRPr="003F4309">
          <w:rPr>
            <w:rFonts w:eastAsia="Calibri"/>
            <w:noProof/>
            <w:color w:val="595959" w:themeColor="text1" w:themeTint="A6"/>
          </w:rPr>
          <w:t>Πίνακας 11 Αριθμός νέων αιτήσεων συνταξιοδότησης και ολοκλήρωσης συνταξιοδοτικών αιτημάτων, 2019-2021 (ποσά σε ευρώ)</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_Toc98160554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37</w:t>
        </w:r>
        <w:r w:rsidR="009B7AD0" w:rsidRPr="003F4309">
          <w:rPr>
            <w:rFonts w:eastAsia="Calibri"/>
            <w:noProof/>
            <w:webHidden/>
            <w:color w:val="595959" w:themeColor="text1" w:themeTint="A6"/>
          </w:rPr>
          <w:fldChar w:fldCharType="end"/>
        </w:r>
      </w:hyperlink>
    </w:p>
    <w:p w14:paraId="52682BC2"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55" w:history="1">
        <w:r w:rsidR="003F4309" w:rsidRPr="003F4309">
          <w:rPr>
            <w:rFonts w:eastAsia="Calibri"/>
            <w:noProof/>
            <w:color w:val="595959" w:themeColor="text1" w:themeTint="A6"/>
          </w:rPr>
          <w:t>Πίνακας 12 Δαπάνη καταβολής επιδομάτων ΟΠΕΚΑ, Ιανουάριος – Δεκέμβριος 2021, σε ευρώ</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_Toc98160555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37</w:t>
        </w:r>
        <w:r w:rsidR="009B7AD0" w:rsidRPr="003F4309">
          <w:rPr>
            <w:rFonts w:eastAsia="Calibri"/>
            <w:noProof/>
            <w:webHidden/>
            <w:color w:val="595959" w:themeColor="text1" w:themeTint="A6"/>
          </w:rPr>
          <w:fldChar w:fldCharType="end"/>
        </w:r>
      </w:hyperlink>
    </w:p>
    <w:p w14:paraId="01639091" w14:textId="77777777" w:rsidR="003F4309" w:rsidRPr="003F4309" w:rsidRDefault="0059099F" w:rsidP="003F4309">
      <w:pPr>
        <w:pStyle w:val="TableofFigures"/>
        <w:tabs>
          <w:tab w:val="right" w:leader="dot" w:pos="8296"/>
        </w:tabs>
        <w:spacing w:line="276" w:lineRule="auto"/>
        <w:jc w:val="both"/>
        <w:rPr>
          <w:rFonts w:eastAsia="Calibri"/>
          <w:noProof/>
          <w:color w:val="595959" w:themeColor="text1" w:themeTint="A6"/>
        </w:rPr>
      </w:pPr>
      <w:hyperlink w:anchor="_Toc98160556" w:history="1">
        <w:r w:rsidR="003F4309" w:rsidRPr="003F4309">
          <w:rPr>
            <w:rFonts w:eastAsia="Calibri"/>
            <w:noProof/>
            <w:color w:val="595959" w:themeColor="text1" w:themeTint="A6"/>
          </w:rPr>
          <w:t>Πίνακας 13 Αριθμός δικαιούχων επιδομάτων ΟΠΕΚΑ, Ιανουάριος – Δεκέμβριος 2020</w:t>
        </w:r>
        <w:r w:rsidR="003F4309" w:rsidRPr="003F4309">
          <w:rPr>
            <w:rFonts w:eastAsia="Calibri"/>
            <w:noProof/>
            <w:webHidden/>
            <w:color w:val="595959" w:themeColor="text1" w:themeTint="A6"/>
          </w:rPr>
          <w:tab/>
        </w:r>
        <w:r w:rsidR="009B7AD0" w:rsidRPr="003F4309">
          <w:rPr>
            <w:rFonts w:eastAsia="Calibri"/>
            <w:noProof/>
            <w:webHidden/>
            <w:color w:val="595959" w:themeColor="text1" w:themeTint="A6"/>
          </w:rPr>
          <w:fldChar w:fldCharType="begin"/>
        </w:r>
        <w:r w:rsidR="003F4309" w:rsidRPr="003F4309">
          <w:rPr>
            <w:rFonts w:eastAsia="Calibri"/>
            <w:noProof/>
            <w:webHidden/>
            <w:color w:val="595959" w:themeColor="text1" w:themeTint="A6"/>
          </w:rPr>
          <w:instrText xml:space="preserve"> PAGEREF _Toc98160556 \h </w:instrText>
        </w:r>
        <w:r w:rsidR="009B7AD0" w:rsidRPr="003F4309">
          <w:rPr>
            <w:rFonts w:eastAsia="Calibri"/>
            <w:noProof/>
            <w:webHidden/>
            <w:color w:val="595959" w:themeColor="text1" w:themeTint="A6"/>
          </w:rPr>
        </w:r>
        <w:r w:rsidR="009B7AD0" w:rsidRPr="003F4309">
          <w:rPr>
            <w:rFonts w:eastAsia="Calibri"/>
            <w:noProof/>
            <w:webHidden/>
            <w:color w:val="595959" w:themeColor="text1" w:themeTint="A6"/>
          </w:rPr>
          <w:fldChar w:fldCharType="separate"/>
        </w:r>
        <w:r w:rsidR="00E96363">
          <w:rPr>
            <w:rFonts w:eastAsia="Calibri"/>
            <w:noProof/>
            <w:webHidden/>
            <w:color w:val="595959" w:themeColor="text1" w:themeTint="A6"/>
          </w:rPr>
          <w:t>38</w:t>
        </w:r>
        <w:r w:rsidR="009B7AD0" w:rsidRPr="003F4309">
          <w:rPr>
            <w:rFonts w:eastAsia="Calibri"/>
            <w:noProof/>
            <w:webHidden/>
            <w:color w:val="595959" w:themeColor="text1" w:themeTint="A6"/>
          </w:rPr>
          <w:fldChar w:fldCharType="end"/>
        </w:r>
      </w:hyperlink>
    </w:p>
    <w:p w14:paraId="63ADAB0B" w14:textId="77777777" w:rsidR="00DF16C7" w:rsidRPr="00BF6B92" w:rsidRDefault="009B7AD0" w:rsidP="003F4309">
      <w:pPr>
        <w:pStyle w:val="TableofFigures"/>
        <w:tabs>
          <w:tab w:val="right" w:leader="dot" w:pos="8296"/>
        </w:tabs>
        <w:spacing w:line="276" w:lineRule="auto"/>
        <w:jc w:val="both"/>
        <w:rPr>
          <w:rFonts w:eastAsia="Calibri"/>
          <w:color w:val="595959" w:themeColor="text1" w:themeTint="A6"/>
        </w:rPr>
      </w:pPr>
      <w:r w:rsidRPr="00573885">
        <w:rPr>
          <w:rFonts w:eastAsia="Calibri"/>
          <w:color w:val="595959" w:themeColor="text1" w:themeTint="A6"/>
        </w:rPr>
        <w:fldChar w:fldCharType="end"/>
      </w:r>
    </w:p>
    <w:p w14:paraId="1887B0D2" w14:textId="77777777" w:rsidR="0059690B" w:rsidRPr="001853D9" w:rsidRDefault="00EE7860" w:rsidP="00E96363">
      <w:pPr>
        <w:spacing w:after="0" w:line="276" w:lineRule="auto"/>
        <w:jc w:val="both"/>
        <w:rPr>
          <w:rFonts w:asciiTheme="majorHAnsi" w:hAnsiTheme="majorHAnsi" w:cstheme="majorHAnsi"/>
          <w:b/>
          <w:color w:val="595959" w:themeColor="text1" w:themeTint="A6"/>
          <w:lang w:val="en-US"/>
        </w:rPr>
      </w:pPr>
      <w:r w:rsidRPr="001853D9">
        <w:rPr>
          <w:rFonts w:asciiTheme="majorHAnsi" w:hAnsiTheme="majorHAnsi" w:cstheme="majorHAnsi"/>
          <w:b/>
          <w:color w:val="595959" w:themeColor="text1" w:themeTint="A6"/>
        </w:rPr>
        <w:t>Ευρετήριο διαγραμμάτων</w:t>
      </w:r>
    </w:p>
    <w:p w14:paraId="289735D7" w14:textId="77777777" w:rsidR="00D735D7" w:rsidRPr="001853D9" w:rsidRDefault="00D735D7" w:rsidP="00E96363">
      <w:pPr>
        <w:spacing w:after="0" w:line="276" w:lineRule="auto"/>
        <w:jc w:val="both"/>
        <w:rPr>
          <w:rFonts w:asciiTheme="majorHAnsi" w:hAnsiTheme="majorHAnsi" w:cstheme="majorHAnsi"/>
          <w:b/>
          <w:color w:val="595959" w:themeColor="text1" w:themeTint="A6"/>
          <w:lang w:val="en-US"/>
        </w:rPr>
      </w:pPr>
    </w:p>
    <w:p w14:paraId="4BF952DF" w14:textId="77777777" w:rsidR="00F240A8" w:rsidRPr="00F240A8" w:rsidRDefault="009B7AD0" w:rsidP="00E96363">
      <w:pPr>
        <w:pStyle w:val="TableofFigures"/>
        <w:tabs>
          <w:tab w:val="right" w:leader="dot" w:pos="8296"/>
        </w:tabs>
        <w:spacing w:line="276" w:lineRule="auto"/>
        <w:rPr>
          <w:rFonts w:eastAsiaTheme="minorEastAsia"/>
          <w:noProof/>
          <w:color w:val="595959" w:themeColor="text1" w:themeTint="A6"/>
          <w:lang w:val="en-US"/>
        </w:rPr>
      </w:pPr>
      <w:r w:rsidRPr="00F240A8">
        <w:rPr>
          <w:rFonts w:eastAsia="Calibri"/>
          <w:color w:val="595959" w:themeColor="text1" w:themeTint="A6"/>
        </w:rPr>
        <w:fldChar w:fldCharType="begin"/>
      </w:r>
      <w:r w:rsidR="00C16ED5" w:rsidRPr="00F240A8">
        <w:rPr>
          <w:rFonts w:eastAsia="Calibri"/>
          <w:color w:val="595959" w:themeColor="text1" w:themeTint="A6"/>
        </w:rPr>
        <w:instrText xml:space="preserve"> TOC \h \z \c "Διάγραμμα" </w:instrText>
      </w:r>
      <w:r w:rsidRPr="00F240A8">
        <w:rPr>
          <w:rFonts w:eastAsia="Calibri"/>
          <w:color w:val="595959" w:themeColor="text1" w:themeTint="A6"/>
        </w:rPr>
        <w:fldChar w:fldCharType="separate"/>
      </w:r>
      <w:hyperlink w:anchor="_Toc98189614" w:history="1">
        <w:r w:rsidR="00F240A8" w:rsidRPr="00F240A8">
          <w:rPr>
            <w:rStyle w:val="Hyperlink"/>
            <w:noProof/>
            <w:color w:val="595959" w:themeColor="text1" w:themeTint="A6"/>
          </w:rPr>
          <w:t>Διάγραμμα 1 Δείκτης Αβεβαιότητας Διεθνούς Οικονομικής Πολιτικής (GEPU)</w:t>
        </w:r>
        <w:r w:rsidR="00F240A8" w:rsidRPr="00F240A8">
          <w:rPr>
            <w:noProof/>
            <w:webHidden/>
            <w:color w:val="595959" w:themeColor="text1" w:themeTint="A6"/>
          </w:rPr>
          <w:tab/>
        </w:r>
        <w:r w:rsidRPr="00F240A8">
          <w:rPr>
            <w:noProof/>
            <w:webHidden/>
            <w:color w:val="595959" w:themeColor="text1" w:themeTint="A6"/>
          </w:rPr>
          <w:fldChar w:fldCharType="begin"/>
        </w:r>
        <w:r w:rsidR="00F240A8" w:rsidRPr="00F240A8">
          <w:rPr>
            <w:noProof/>
            <w:webHidden/>
            <w:color w:val="595959" w:themeColor="text1" w:themeTint="A6"/>
          </w:rPr>
          <w:instrText xml:space="preserve"> PAGEREF _Toc98189614 \h </w:instrText>
        </w:r>
        <w:r w:rsidRPr="00F240A8">
          <w:rPr>
            <w:noProof/>
            <w:webHidden/>
            <w:color w:val="595959" w:themeColor="text1" w:themeTint="A6"/>
          </w:rPr>
        </w:r>
        <w:r w:rsidRPr="00F240A8">
          <w:rPr>
            <w:noProof/>
            <w:webHidden/>
            <w:color w:val="595959" w:themeColor="text1" w:themeTint="A6"/>
          </w:rPr>
          <w:fldChar w:fldCharType="separate"/>
        </w:r>
        <w:r w:rsidR="00F240A8" w:rsidRPr="00F240A8">
          <w:rPr>
            <w:noProof/>
            <w:webHidden/>
            <w:color w:val="595959" w:themeColor="text1" w:themeTint="A6"/>
          </w:rPr>
          <w:t>12</w:t>
        </w:r>
        <w:r w:rsidRPr="00F240A8">
          <w:rPr>
            <w:noProof/>
            <w:webHidden/>
            <w:color w:val="595959" w:themeColor="text1" w:themeTint="A6"/>
          </w:rPr>
          <w:fldChar w:fldCharType="end"/>
        </w:r>
      </w:hyperlink>
    </w:p>
    <w:p w14:paraId="36ECFFB7" w14:textId="77777777" w:rsidR="00F240A8" w:rsidRPr="00F240A8" w:rsidRDefault="0059099F" w:rsidP="00E96363">
      <w:pPr>
        <w:pStyle w:val="TableofFigures"/>
        <w:tabs>
          <w:tab w:val="right" w:leader="dot" w:pos="8296"/>
        </w:tabs>
        <w:spacing w:line="276" w:lineRule="auto"/>
        <w:rPr>
          <w:rFonts w:eastAsiaTheme="minorEastAsia"/>
          <w:noProof/>
          <w:color w:val="595959" w:themeColor="text1" w:themeTint="A6"/>
          <w:lang w:val="en-US"/>
        </w:rPr>
      </w:pPr>
      <w:hyperlink w:anchor="_Toc98189615" w:history="1">
        <w:r w:rsidR="00F240A8" w:rsidRPr="00F240A8">
          <w:rPr>
            <w:rStyle w:val="Hyperlink"/>
            <w:iCs/>
            <w:noProof/>
            <w:color w:val="595959" w:themeColor="text1" w:themeTint="A6"/>
          </w:rPr>
          <w:t>Διάγραμμα 2 Πληθωρισμός εναρμονισμένου δείκτη και "πυρήνας" πληθωρισμού</w:t>
        </w:r>
        <w:r w:rsidR="00F240A8" w:rsidRPr="00F240A8">
          <w:rPr>
            <w:noProof/>
            <w:webHidden/>
            <w:color w:val="595959" w:themeColor="text1" w:themeTint="A6"/>
          </w:rPr>
          <w:tab/>
        </w:r>
        <w:r w:rsidR="009B7AD0" w:rsidRPr="00F240A8">
          <w:rPr>
            <w:noProof/>
            <w:webHidden/>
            <w:color w:val="595959" w:themeColor="text1" w:themeTint="A6"/>
          </w:rPr>
          <w:fldChar w:fldCharType="begin"/>
        </w:r>
        <w:r w:rsidR="00F240A8" w:rsidRPr="00F240A8">
          <w:rPr>
            <w:noProof/>
            <w:webHidden/>
            <w:color w:val="595959" w:themeColor="text1" w:themeTint="A6"/>
          </w:rPr>
          <w:instrText xml:space="preserve"> PAGEREF _Toc98189615 \h </w:instrText>
        </w:r>
        <w:r w:rsidR="009B7AD0" w:rsidRPr="00F240A8">
          <w:rPr>
            <w:noProof/>
            <w:webHidden/>
            <w:color w:val="595959" w:themeColor="text1" w:themeTint="A6"/>
          </w:rPr>
        </w:r>
        <w:r w:rsidR="009B7AD0" w:rsidRPr="00F240A8">
          <w:rPr>
            <w:noProof/>
            <w:webHidden/>
            <w:color w:val="595959" w:themeColor="text1" w:themeTint="A6"/>
          </w:rPr>
          <w:fldChar w:fldCharType="separate"/>
        </w:r>
        <w:r w:rsidR="00F240A8" w:rsidRPr="00F240A8">
          <w:rPr>
            <w:noProof/>
            <w:webHidden/>
            <w:color w:val="595959" w:themeColor="text1" w:themeTint="A6"/>
          </w:rPr>
          <w:t>18</w:t>
        </w:r>
        <w:r w:rsidR="009B7AD0" w:rsidRPr="00F240A8">
          <w:rPr>
            <w:noProof/>
            <w:webHidden/>
            <w:color w:val="595959" w:themeColor="text1" w:themeTint="A6"/>
          </w:rPr>
          <w:fldChar w:fldCharType="end"/>
        </w:r>
      </w:hyperlink>
    </w:p>
    <w:p w14:paraId="3D1AECFE" w14:textId="77777777" w:rsidR="00F240A8" w:rsidRPr="00F240A8" w:rsidRDefault="0059099F" w:rsidP="00E96363">
      <w:pPr>
        <w:pStyle w:val="TableofFigures"/>
        <w:tabs>
          <w:tab w:val="right" w:leader="dot" w:pos="8296"/>
        </w:tabs>
        <w:spacing w:line="276" w:lineRule="auto"/>
        <w:rPr>
          <w:rFonts w:eastAsiaTheme="minorEastAsia"/>
          <w:noProof/>
          <w:color w:val="595959" w:themeColor="text1" w:themeTint="A6"/>
          <w:lang w:val="en-US"/>
        </w:rPr>
      </w:pPr>
      <w:hyperlink w:anchor="_Toc98189616" w:history="1">
        <w:r w:rsidR="00F240A8" w:rsidRPr="00F240A8">
          <w:rPr>
            <w:rStyle w:val="Hyperlink"/>
            <w:noProof/>
            <w:color w:val="595959" w:themeColor="text1" w:themeTint="A6"/>
          </w:rPr>
          <w:t>Διάγραμμα 3 Ισοζύγιο τρεχουσών συναλλαγών Ιανουαρίου-Δεκεμβρίου, σε εκατ. ευρώ</w:t>
        </w:r>
        <w:r w:rsidR="00F240A8" w:rsidRPr="00F240A8">
          <w:rPr>
            <w:noProof/>
            <w:webHidden/>
            <w:color w:val="595959" w:themeColor="text1" w:themeTint="A6"/>
          </w:rPr>
          <w:tab/>
        </w:r>
        <w:r w:rsidR="009B7AD0" w:rsidRPr="00F240A8">
          <w:rPr>
            <w:noProof/>
            <w:webHidden/>
            <w:color w:val="595959" w:themeColor="text1" w:themeTint="A6"/>
          </w:rPr>
          <w:fldChar w:fldCharType="begin"/>
        </w:r>
        <w:r w:rsidR="00F240A8" w:rsidRPr="00F240A8">
          <w:rPr>
            <w:noProof/>
            <w:webHidden/>
            <w:color w:val="595959" w:themeColor="text1" w:themeTint="A6"/>
          </w:rPr>
          <w:instrText xml:space="preserve"> PAGEREF _Toc98189616 \h </w:instrText>
        </w:r>
        <w:r w:rsidR="009B7AD0" w:rsidRPr="00F240A8">
          <w:rPr>
            <w:noProof/>
            <w:webHidden/>
            <w:color w:val="595959" w:themeColor="text1" w:themeTint="A6"/>
          </w:rPr>
        </w:r>
        <w:r w:rsidR="009B7AD0" w:rsidRPr="00F240A8">
          <w:rPr>
            <w:noProof/>
            <w:webHidden/>
            <w:color w:val="595959" w:themeColor="text1" w:themeTint="A6"/>
          </w:rPr>
          <w:fldChar w:fldCharType="separate"/>
        </w:r>
        <w:r w:rsidR="00F240A8" w:rsidRPr="00F240A8">
          <w:rPr>
            <w:noProof/>
            <w:webHidden/>
            <w:color w:val="595959" w:themeColor="text1" w:themeTint="A6"/>
          </w:rPr>
          <w:t>19</w:t>
        </w:r>
        <w:r w:rsidR="009B7AD0" w:rsidRPr="00F240A8">
          <w:rPr>
            <w:noProof/>
            <w:webHidden/>
            <w:color w:val="595959" w:themeColor="text1" w:themeTint="A6"/>
          </w:rPr>
          <w:fldChar w:fldCharType="end"/>
        </w:r>
      </w:hyperlink>
    </w:p>
    <w:p w14:paraId="4D029A20" w14:textId="77777777" w:rsidR="00F240A8" w:rsidRPr="00F240A8" w:rsidRDefault="0059099F" w:rsidP="00E96363">
      <w:pPr>
        <w:pStyle w:val="TableofFigures"/>
        <w:tabs>
          <w:tab w:val="right" w:leader="dot" w:pos="8296"/>
        </w:tabs>
        <w:spacing w:line="276" w:lineRule="auto"/>
        <w:rPr>
          <w:rFonts w:eastAsiaTheme="minorEastAsia"/>
          <w:noProof/>
          <w:color w:val="595959" w:themeColor="text1" w:themeTint="A6"/>
          <w:lang w:val="en-US"/>
        </w:rPr>
      </w:pPr>
      <w:hyperlink w:anchor="_Toc98189617" w:history="1">
        <w:r w:rsidR="00F240A8" w:rsidRPr="00F240A8">
          <w:rPr>
            <w:rStyle w:val="Hyperlink"/>
            <w:noProof/>
            <w:color w:val="595959" w:themeColor="text1" w:themeTint="A6"/>
          </w:rPr>
          <w:t>Διάγραμμα 4 Ποσοστό ανεργίας, Ελλάδα και Ευρωζώνη</w:t>
        </w:r>
        <w:r w:rsidR="00F240A8" w:rsidRPr="00F240A8">
          <w:rPr>
            <w:noProof/>
            <w:webHidden/>
            <w:color w:val="595959" w:themeColor="text1" w:themeTint="A6"/>
          </w:rPr>
          <w:tab/>
        </w:r>
        <w:r w:rsidR="009B7AD0" w:rsidRPr="00F240A8">
          <w:rPr>
            <w:noProof/>
            <w:webHidden/>
            <w:color w:val="595959" w:themeColor="text1" w:themeTint="A6"/>
          </w:rPr>
          <w:fldChar w:fldCharType="begin"/>
        </w:r>
        <w:r w:rsidR="00F240A8" w:rsidRPr="00F240A8">
          <w:rPr>
            <w:noProof/>
            <w:webHidden/>
            <w:color w:val="595959" w:themeColor="text1" w:themeTint="A6"/>
          </w:rPr>
          <w:instrText xml:space="preserve"> PAGEREF _Toc98189617 \h </w:instrText>
        </w:r>
        <w:r w:rsidR="009B7AD0" w:rsidRPr="00F240A8">
          <w:rPr>
            <w:noProof/>
            <w:webHidden/>
            <w:color w:val="595959" w:themeColor="text1" w:themeTint="A6"/>
          </w:rPr>
        </w:r>
        <w:r w:rsidR="009B7AD0" w:rsidRPr="00F240A8">
          <w:rPr>
            <w:noProof/>
            <w:webHidden/>
            <w:color w:val="595959" w:themeColor="text1" w:themeTint="A6"/>
          </w:rPr>
          <w:fldChar w:fldCharType="separate"/>
        </w:r>
        <w:r w:rsidR="00F240A8" w:rsidRPr="00F240A8">
          <w:rPr>
            <w:noProof/>
            <w:webHidden/>
            <w:color w:val="595959" w:themeColor="text1" w:themeTint="A6"/>
          </w:rPr>
          <w:t>19</w:t>
        </w:r>
        <w:r w:rsidR="009B7AD0" w:rsidRPr="00F240A8">
          <w:rPr>
            <w:noProof/>
            <w:webHidden/>
            <w:color w:val="595959" w:themeColor="text1" w:themeTint="A6"/>
          </w:rPr>
          <w:fldChar w:fldCharType="end"/>
        </w:r>
      </w:hyperlink>
    </w:p>
    <w:p w14:paraId="77DF8CE5" w14:textId="77777777" w:rsidR="00F240A8" w:rsidRPr="00F240A8" w:rsidRDefault="0059099F" w:rsidP="00E96363">
      <w:pPr>
        <w:pStyle w:val="TableofFigures"/>
        <w:tabs>
          <w:tab w:val="right" w:leader="dot" w:pos="8296"/>
        </w:tabs>
        <w:spacing w:line="276" w:lineRule="auto"/>
        <w:rPr>
          <w:rFonts w:eastAsiaTheme="minorEastAsia"/>
          <w:noProof/>
          <w:color w:val="595959" w:themeColor="text1" w:themeTint="A6"/>
          <w:lang w:val="en-US"/>
        </w:rPr>
      </w:pPr>
      <w:hyperlink w:anchor="_Toc98189618" w:history="1">
        <w:r w:rsidR="00F240A8" w:rsidRPr="00F240A8">
          <w:rPr>
            <w:rStyle w:val="Hyperlink"/>
            <w:noProof/>
            <w:color w:val="595959" w:themeColor="text1" w:themeTint="A6"/>
          </w:rPr>
          <w:t>Διάγραμμα 5 Ληξιπρόθεσμες υποχρεώσεις Γενικής Κυβέρνησης, σε εκατ. ευρώ</w:t>
        </w:r>
        <w:r w:rsidR="00F240A8" w:rsidRPr="00F240A8">
          <w:rPr>
            <w:noProof/>
            <w:webHidden/>
            <w:color w:val="595959" w:themeColor="text1" w:themeTint="A6"/>
          </w:rPr>
          <w:tab/>
        </w:r>
        <w:r w:rsidR="009B7AD0" w:rsidRPr="00F240A8">
          <w:rPr>
            <w:noProof/>
            <w:webHidden/>
            <w:color w:val="595959" w:themeColor="text1" w:themeTint="A6"/>
          </w:rPr>
          <w:fldChar w:fldCharType="begin"/>
        </w:r>
        <w:r w:rsidR="00F240A8" w:rsidRPr="00F240A8">
          <w:rPr>
            <w:noProof/>
            <w:webHidden/>
            <w:color w:val="595959" w:themeColor="text1" w:themeTint="A6"/>
          </w:rPr>
          <w:instrText xml:space="preserve"> PAGEREF _Toc98189618 \h </w:instrText>
        </w:r>
        <w:r w:rsidR="009B7AD0" w:rsidRPr="00F240A8">
          <w:rPr>
            <w:noProof/>
            <w:webHidden/>
            <w:color w:val="595959" w:themeColor="text1" w:themeTint="A6"/>
          </w:rPr>
        </w:r>
        <w:r w:rsidR="009B7AD0" w:rsidRPr="00F240A8">
          <w:rPr>
            <w:noProof/>
            <w:webHidden/>
            <w:color w:val="595959" w:themeColor="text1" w:themeTint="A6"/>
          </w:rPr>
          <w:fldChar w:fldCharType="separate"/>
        </w:r>
        <w:r w:rsidR="00F240A8" w:rsidRPr="00F240A8">
          <w:rPr>
            <w:noProof/>
            <w:webHidden/>
            <w:color w:val="595959" w:themeColor="text1" w:themeTint="A6"/>
          </w:rPr>
          <w:t>25</w:t>
        </w:r>
        <w:r w:rsidR="009B7AD0" w:rsidRPr="00F240A8">
          <w:rPr>
            <w:noProof/>
            <w:webHidden/>
            <w:color w:val="595959" w:themeColor="text1" w:themeTint="A6"/>
          </w:rPr>
          <w:fldChar w:fldCharType="end"/>
        </w:r>
      </w:hyperlink>
    </w:p>
    <w:p w14:paraId="562D3423" w14:textId="77777777" w:rsidR="00F240A8" w:rsidRPr="00F240A8" w:rsidRDefault="0059099F" w:rsidP="00E96363">
      <w:pPr>
        <w:pStyle w:val="TableofFigures"/>
        <w:tabs>
          <w:tab w:val="right" w:leader="dot" w:pos="8296"/>
        </w:tabs>
        <w:spacing w:line="276" w:lineRule="auto"/>
        <w:rPr>
          <w:rFonts w:eastAsiaTheme="minorEastAsia"/>
          <w:noProof/>
          <w:color w:val="595959" w:themeColor="text1" w:themeTint="A6"/>
          <w:lang w:val="en-US"/>
        </w:rPr>
      </w:pPr>
      <w:hyperlink w:anchor="_Toc98189619" w:history="1">
        <w:r w:rsidR="00F240A8" w:rsidRPr="00F240A8">
          <w:rPr>
            <w:rStyle w:val="Hyperlink"/>
            <w:noProof/>
            <w:color w:val="595959" w:themeColor="text1" w:themeTint="A6"/>
          </w:rPr>
          <w:t>Διάγραμμα 6</w:t>
        </w:r>
        <w:r w:rsidR="00F240A8" w:rsidRPr="00F240A8">
          <w:rPr>
            <w:rStyle w:val="Hyperlink"/>
            <w:rFonts w:asciiTheme="majorHAnsi" w:hAnsiTheme="majorHAnsi" w:cstheme="majorHAnsi"/>
            <w:noProof/>
            <w:color w:val="595959" w:themeColor="text1" w:themeTint="A6"/>
          </w:rPr>
          <w:t xml:space="preserve"> </w:t>
        </w:r>
        <w:r w:rsidR="00F240A8" w:rsidRPr="00F240A8">
          <w:rPr>
            <w:rStyle w:val="Hyperlink"/>
            <w:noProof/>
            <w:color w:val="595959" w:themeColor="text1" w:themeTint="A6"/>
          </w:rPr>
          <w:t>Ληξιπρόθεσμες υποχρεώσεις φορολογούμενων, σε εκατ. ευρώ</w:t>
        </w:r>
        <w:r w:rsidR="00F240A8" w:rsidRPr="00F240A8">
          <w:rPr>
            <w:noProof/>
            <w:webHidden/>
            <w:color w:val="595959" w:themeColor="text1" w:themeTint="A6"/>
          </w:rPr>
          <w:tab/>
        </w:r>
        <w:r w:rsidR="009B7AD0" w:rsidRPr="00F240A8">
          <w:rPr>
            <w:noProof/>
            <w:webHidden/>
            <w:color w:val="595959" w:themeColor="text1" w:themeTint="A6"/>
          </w:rPr>
          <w:fldChar w:fldCharType="begin"/>
        </w:r>
        <w:r w:rsidR="00F240A8" w:rsidRPr="00F240A8">
          <w:rPr>
            <w:noProof/>
            <w:webHidden/>
            <w:color w:val="595959" w:themeColor="text1" w:themeTint="A6"/>
          </w:rPr>
          <w:instrText xml:space="preserve"> PAGEREF _Toc98189619 \h </w:instrText>
        </w:r>
        <w:r w:rsidR="009B7AD0" w:rsidRPr="00F240A8">
          <w:rPr>
            <w:noProof/>
            <w:webHidden/>
            <w:color w:val="595959" w:themeColor="text1" w:themeTint="A6"/>
          </w:rPr>
        </w:r>
        <w:r w:rsidR="009B7AD0" w:rsidRPr="00F240A8">
          <w:rPr>
            <w:noProof/>
            <w:webHidden/>
            <w:color w:val="595959" w:themeColor="text1" w:themeTint="A6"/>
          </w:rPr>
          <w:fldChar w:fldCharType="separate"/>
        </w:r>
        <w:r w:rsidR="00F240A8" w:rsidRPr="00F240A8">
          <w:rPr>
            <w:noProof/>
            <w:webHidden/>
            <w:color w:val="595959" w:themeColor="text1" w:themeTint="A6"/>
          </w:rPr>
          <w:t>26</w:t>
        </w:r>
        <w:r w:rsidR="009B7AD0" w:rsidRPr="00F240A8">
          <w:rPr>
            <w:noProof/>
            <w:webHidden/>
            <w:color w:val="595959" w:themeColor="text1" w:themeTint="A6"/>
          </w:rPr>
          <w:fldChar w:fldCharType="end"/>
        </w:r>
      </w:hyperlink>
    </w:p>
    <w:p w14:paraId="1F3601CD" w14:textId="77777777" w:rsidR="00F240A8" w:rsidRPr="00F240A8" w:rsidRDefault="0059099F" w:rsidP="00E96363">
      <w:pPr>
        <w:pStyle w:val="TableofFigures"/>
        <w:tabs>
          <w:tab w:val="right" w:leader="dot" w:pos="8296"/>
        </w:tabs>
        <w:spacing w:line="276" w:lineRule="auto"/>
        <w:rPr>
          <w:rFonts w:eastAsiaTheme="minorEastAsia"/>
          <w:noProof/>
          <w:color w:val="595959" w:themeColor="text1" w:themeTint="A6"/>
          <w:lang w:val="en-US"/>
        </w:rPr>
      </w:pPr>
      <w:hyperlink w:anchor="_Toc98189620" w:history="1">
        <w:r w:rsidR="00F240A8" w:rsidRPr="00F240A8">
          <w:rPr>
            <w:rStyle w:val="Hyperlink"/>
            <w:noProof/>
            <w:color w:val="595959" w:themeColor="text1" w:themeTint="A6"/>
          </w:rPr>
          <w:t>Διάγραμμα 7</w:t>
        </w:r>
        <w:r w:rsidR="00F240A8" w:rsidRPr="00F240A8">
          <w:rPr>
            <w:rStyle w:val="Hyperlink"/>
            <w:rFonts w:asciiTheme="majorHAnsi" w:hAnsiTheme="majorHAnsi" w:cstheme="majorHAnsi"/>
            <w:noProof/>
            <w:color w:val="595959" w:themeColor="text1" w:themeTint="A6"/>
          </w:rPr>
          <w:t xml:space="preserve"> </w:t>
        </w:r>
        <w:r w:rsidR="00F240A8" w:rsidRPr="00F240A8">
          <w:rPr>
            <w:rStyle w:val="Hyperlink"/>
            <w:noProof/>
            <w:color w:val="595959" w:themeColor="text1" w:themeTint="A6"/>
          </w:rPr>
          <w:t>Εισροές και εκροές ληξιπρόθεσμου υπολοίπου, σε εκατ. ευρώ</w:t>
        </w:r>
        <w:r w:rsidR="00F240A8" w:rsidRPr="00F240A8">
          <w:rPr>
            <w:noProof/>
            <w:webHidden/>
            <w:color w:val="595959" w:themeColor="text1" w:themeTint="A6"/>
          </w:rPr>
          <w:tab/>
        </w:r>
        <w:r w:rsidR="009B7AD0" w:rsidRPr="00F240A8">
          <w:rPr>
            <w:noProof/>
            <w:webHidden/>
            <w:color w:val="595959" w:themeColor="text1" w:themeTint="A6"/>
          </w:rPr>
          <w:fldChar w:fldCharType="begin"/>
        </w:r>
        <w:r w:rsidR="00F240A8" w:rsidRPr="00F240A8">
          <w:rPr>
            <w:noProof/>
            <w:webHidden/>
            <w:color w:val="595959" w:themeColor="text1" w:themeTint="A6"/>
          </w:rPr>
          <w:instrText xml:space="preserve"> PAGEREF _Toc98189620 \h </w:instrText>
        </w:r>
        <w:r w:rsidR="009B7AD0" w:rsidRPr="00F240A8">
          <w:rPr>
            <w:noProof/>
            <w:webHidden/>
            <w:color w:val="595959" w:themeColor="text1" w:themeTint="A6"/>
          </w:rPr>
        </w:r>
        <w:r w:rsidR="009B7AD0" w:rsidRPr="00F240A8">
          <w:rPr>
            <w:noProof/>
            <w:webHidden/>
            <w:color w:val="595959" w:themeColor="text1" w:themeTint="A6"/>
          </w:rPr>
          <w:fldChar w:fldCharType="separate"/>
        </w:r>
        <w:r w:rsidR="00F240A8" w:rsidRPr="00F240A8">
          <w:rPr>
            <w:noProof/>
            <w:webHidden/>
            <w:color w:val="595959" w:themeColor="text1" w:themeTint="A6"/>
          </w:rPr>
          <w:t>26</w:t>
        </w:r>
        <w:r w:rsidR="009B7AD0" w:rsidRPr="00F240A8">
          <w:rPr>
            <w:noProof/>
            <w:webHidden/>
            <w:color w:val="595959" w:themeColor="text1" w:themeTint="A6"/>
          </w:rPr>
          <w:fldChar w:fldCharType="end"/>
        </w:r>
      </w:hyperlink>
    </w:p>
    <w:p w14:paraId="75EFDC34" w14:textId="77777777" w:rsidR="00F240A8" w:rsidRPr="00F240A8" w:rsidRDefault="0059099F" w:rsidP="00E96363">
      <w:pPr>
        <w:pStyle w:val="TableofFigures"/>
        <w:tabs>
          <w:tab w:val="right" w:leader="dot" w:pos="8296"/>
        </w:tabs>
        <w:spacing w:line="276" w:lineRule="auto"/>
        <w:rPr>
          <w:rFonts w:eastAsiaTheme="minorEastAsia"/>
          <w:noProof/>
          <w:color w:val="595959" w:themeColor="text1" w:themeTint="A6"/>
          <w:lang w:val="en-US"/>
        </w:rPr>
      </w:pPr>
      <w:hyperlink w:anchor="_Toc98189621" w:history="1">
        <w:r w:rsidR="00F240A8" w:rsidRPr="00F240A8">
          <w:rPr>
            <w:rStyle w:val="Hyperlink"/>
            <w:noProof/>
            <w:color w:val="595959" w:themeColor="text1" w:themeTint="A6"/>
          </w:rPr>
          <w:t>Διάγραμμα 8 Πραγματικό και ανεπίδεκτο είσπραξης ληξιπρόθεσμο υπόλοιπο, εκατ. ευρώ</w:t>
        </w:r>
        <w:r w:rsidR="00F240A8" w:rsidRPr="00F240A8">
          <w:rPr>
            <w:noProof/>
            <w:webHidden/>
            <w:color w:val="595959" w:themeColor="text1" w:themeTint="A6"/>
          </w:rPr>
          <w:tab/>
        </w:r>
        <w:r w:rsidR="009B7AD0" w:rsidRPr="00F240A8">
          <w:rPr>
            <w:noProof/>
            <w:webHidden/>
            <w:color w:val="595959" w:themeColor="text1" w:themeTint="A6"/>
          </w:rPr>
          <w:fldChar w:fldCharType="begin"/>
        </w:r>
        <w:r w:rsidR="00F240A8" w:rsidRPr="00F240A8">
          <w:rPr>
            <w:noProof/>
            <w:webHidden/>
            <w:color w:val="595959" w:themeColor="text1" w:themeTint="A6"/>
          </w:rPr>
          <w:instrText xml:space="preserve"> PAGEREF _Toc98189621 \h </w:instrText>
        </w:r>
        <w:r w:rsidR="009B7AD0" w:rsidRPr="00F240A8">
          <w:rPr>
            <w:noProof/>
            <w:webHidden/>
            <w:color w:val="595959" w:themeColor="text1" w:themeTint="A6"/>
          </w:rPr>
        </w:r>
        <w:r w:rsidR="009B7AD0" w:rsidRPr="00F240A8">
          <w:rPr>
            <w:noProof/>
            <w:webHidden/>
            <w:color w:val="595959" w:themeColor="text1" w:themeTint="A6"/>
          </w:rPr>
          <w:fldChar w:fldCharType="separate"/>
        </w:r>
        <w:r w:rsidR="00F240A8" w:rsidRPr="00F240A8">
          <w:rPr>
            <w:noProof/>
            <w:webHidden/>
            <w:color w:val="595959" w:themeColor="text1" w:themeTint="A6"/>
          </w:rPr>
          <w:t>27</w:t>
        </w:r>
        <w:r w:rsidR="009B7AD0" w:rsidRPr="00F240A8">
          <w:rPr>
            <w:noProof/>
            <w:webHidden/>
            <w:color w:val="595959" w:themeColor="text1" w:themeTint="A6"/>
          </w:rPr>
          <w:fldChar w:fldCharType="end"/>
        </w:r>
      </w:hyperlink>
    </w:p>
    <w:p w14:paraId="0DDFA2B7" w14:textId="77777777" w:rsidR="00F240A8" w:rsidRPr="00F240A8" w:rsidRDefault="0059099F" w:rsidP="00E96363">
      <w:pPr>
        <w:pStyle w:val="TableofFigures"/>
        <w:tabs>
          <w:tab w:val="right" w:leader="dot" w:pos="8296"/>
        </w:tabs>
        <w:spacing w:line="276" w:lineRule="auto"/>
        <w:rPr>
          <w:rFonts w:eastAsiaTheme="minorEastAsia"/>
          <w:noProof/>
          <w:color w:val="595959" w:themeColor="text1" w:themeTint="A6"/>
          <w:lang w:val="en-US"/>
        </w:rPr>
      </w:pPr>
      <w:hyperlink w:anchor="_Toc98189622" w:history="1">
        <w:r w:rsidR="00F240A8" w:rsidRPr="00F240A8">
          <w:rPr>
            <w:rStyle w:val="Hyperlink"/>
            <w:noProof/>
            <w:color w:val="595959" w:themeColor="text1" w:themeTint="A6"/>
          </w:rPr>
          <w:t>Διάγραμμα 9</w:t>
        </w:r>
        <w:r w:rsidR="00F240A8" w:rsidRPr="00F240A8">
          <w:rPr>
            <w:rStyle w:val="Hyperlink"/>
            <w:rFonts w:asciiTheme="majorHAnsi" w:hAnsiTheme="majorHAnsi" w:cstheme="majorHAnsi"/>
            <w:noProof/>
            <w:color w:val="595959" w:themeColor="text1" w:themeTint="A6"/>
          </w:rPr>
          <w:t xml:space="preserve"> </w:t>
        </w:r>
        <w:r w:rsidR="00F240A8" w:rsidRPr="00F240A8">
          <w:rPr>
            <w:rStyle w:val="Hyperlink"/>
            <w:noProof/>
            <w:color w:val="595959" w:themeColor="text1" w:themeTint="A6"/>
          </w:rPr>
          <w:t>Ποσοστιαία κατανομή πραγματικού ληξιπρόθεσμου υπολοίπου φορολογουμένων ανά κατηγορία οφειλής</w:t>
        </w:r>
        <w:r w:rsidR="00F240A8" w:rsidRPr="00F240A8">
          <w:rPr>
            <w:noProof/>
            <w:webHidden/>
            <w:color w:val="595959" w:themeColor="text1" w:themeTint="A6"/>
          </w:rPr>
          <w:tab/>
        </w:r>
        <w:r w:rsidR="009B7AD0" w:rsidRPr="00F240A8">
          <w:rPr>
            <w:noProof/>
            <w:webHidden/>
            <w:color w:val="595959" w:themeColor="text1" w:themeTint="A6"/>
          </w:rPr>
          <w:fldChar w:fldCharType="begin"/>
        </w:r>
        <w:r w:rsidR="00F240A8" w:rsidRPr="00F240A8">
          <w:rPr>
            <w:noProof/>
            <w:webHidden/>
            <w:color w:val="595959" w:themeColor="text1" w:themeTint="A6"/>
          </w:rPr>
          <w:instrText xml:space="preserve"> PAGEREF _Toc98189622 \h </w:instrText>
        </w:r>
        <w:r w:rsidR="009B7AD0" w:rsidRPr="00F240A8">
          <w:rPr>
            <w:noProof/>
            <w:webHidden/>
            <w:color w:val="595959" w:themeColor="text1" w:themeTint="A6"/>
          </w:rPr>
        </w:r>
        <w:r w:rsidR="009B7AD0" w:rsidRPr="00F240A8">
          <w:rPr>
            <w:noProof/>
            <w:webHidden/>
            <w:color w:val="595959" w:themeColor="text1" w:themeTint="A6"/>
          </w:rPr>
          <w:fldChar w:fldCharType="separate"/>
        </w:r>
        <w:r w:rsidR="00F240A8" w:rsidRPr="00F240A8">
          <w:rPr>
            <w:noProof/>
            <w:webHidden/>
            <w:color w:val="595959" w:themeColor="text1" w:themeTint="A6"/>
          </w:rPr>
          <w:t>28</w:t>
        </w:r>
        <w:r w:rsidR="009B7AD0" w:rsidRPr="00F240A8">
          <w:rPr>
            <w:noProof/>
            <w:webHidden/>
            <w:color w:val="595959" w:themeColor="text1" w:themeTint="A6"/>
          </w:rPr>
          <w:fldChar w:fldCharType="end"/>
        </w:r>
      </w:hyperlink>
    </w:p>
    <w:p w14:paraId="577208A4" w14:textId="77777777" w:rsidR="00F240A8" w:rsidRPr="00F240A8" w:rsidRDefault="0059099F" w:rsidP="00E96363">
      <w:pPr>
        <w:pStyle w:val="TableofFigures"/>
        <w:tabs>
          <w:tab w:val="right" w:leader="dot" w:pos="8296"/>
        </w:tabs>
        <w:spacing w:line="276" w:lineRule="auto"/>
        <w:rPr>
          <w:rFonts w:eastAsiaTheme="minorEastAsia"/>
          <w:noProof/>
          <w:color w:val="595959" w:themeColor="text1" w:themeTint="A6"/>
          <w:lang w:val="en-US"/>
        </w:rPr>
      </w:pPr>
      <w:hyperlink w:anchor="_Toc98189623" w:history="1">
        <w:r w:rsidR="00F240A8" w:rsidRPr="00F240A8">
          <w:rPr>
            <w:rStyle w:val="Hyperlink"/>
            <w:noProof/>
            <w:color w:val="595959" w:themeColor="text1" w:themeTint="A6"/>
          </w:rPr>
          <w:t>Διάγραμμα 10 Αποδόσεις δεκαετών ομολόγων</w:t>
        </w:r>
        <w:r w:rsidR="00F240A8" w:rsidRPr="00F240A8">
          <w:rPr>
            <w:noProof/>
            <w:webHidden/>
            <w:color w:val="595959" w:themeColor="text1" w:themeTint="A6"/>
          </w:rPr>
          <w:tab/>
        </w:r>
        <w:r w:rsidR="009B7AD0" w:rsidRPr="00F240A8">
          <w:rPr>
            <w:noProof/>
            <w:webHidden/>
            <w:color w:val="595959" w:themeColor="text1" w:themeTint="A6"/>
          </w:rPr>
          <w:fldChar w:fldCharType="begin"/>
        </w:r>
        <w:r w:rsidR="00F240A8" w:rsidRPr="00F240A8">
          <w:rPr>
            <w:noProof/>
            <w:webHidden/>
            <w:color w:val="595959" w:themeColor="text1" w:themeTint="A6"/>
          </w:rPr>
          <w:instrText xml:space="preserve"> PAGEREF _Toc98189623 \h </w:instrText>
        </w:r>
        <w:r w:rsidR="009B7AD0" w:rsidRPr="00F240A8">
          <w:rPr>
            <w:noProof/>
            <w:webHidden/>
            <w:color w:val="595959" w:themeColor="text1" w:themeTint="A6"/>
          </w:rPr>
        </w:r>
        <w:r w:rsidR="009B7AD0" w:rsidRPr="00F240A8">
          <w:rPr>
            <w:noProof/>
            <w:webHidden/>
            <w:color w:val="595959" w:themeColor="text1" w:themeTint="A6"/>
          </w:rPr>
          <w:fldChar w:fldCharType="separate"/>
        </w:r>
        <w:r w:rsidR="00F240A8" w:rsidRPr="00F240A8">
          <w:rPr>
            <w:noProof/>
            <w:webHidden/>
            <w:color w:val="595959" w:themeColor="text1" w:themeTint="A6"/>
          </w:rPr>
          <w:t>31</w:t>
        </w:r>
        <w:r w:rsidR="009B7AD0" w:rsidRPr="00F240A8">
          <w:rPr>
            <w:noProof/>
            <w:webHidden/>
            <w:color w:val="595959" w:themeColor="text1" w:themeTint="A6"/>
          </w:rPr>
          <w:fldChar w:fldCharType="end"/>
        </w:r>
      </w:hyperlink>
    </w:p>
    <w:p w14:paraId="4CC26454" w14:textId="77777777" w:rsidR="004D6364" w:rsidRPr="00573885" w:rsidRDefault="009B7AD0" w:rsidP="00E96363">
      <w:pPr>
        <w:pStyle w:val="TableofFigures"/>
        <w:tabs>
          <w:tab w:val="right" w:leader="dot" w:pos="8296"/>
        </w:tabs>
        <w:spacing w:line="276" w:lineRule="auto"/>
        <w:jc w:val="both"/>
        <w:rPr>
          <w:rFonts w:eastAsia="Calibri"/>
          <w:color w:val="595959" w:themeColor="text1" w:themeTint="A6"/>
        </w:rPr>
      </w:pPr>
      <w:r w:rsidRPr="00F240A8">
        <w:rPr>
          <w:rFonts w:eastAsia="Calibri"/>
          <w:color w:val="595959" w:themeColor="text1" w:themeTint="A6"/>
        </w:rPr>
        <w:fldChar w:fldCharType="end"/>
      </w:r>
      <w:r w:rsidR="004D6364" w:rsidRPr="00573885">
        <w:rPr>
          <w:rFonts w:eastAsia="Calibri"/>
          <w:color w:val="595959" w:themeColor="text1" w:themeTint="A6"/>
        </w:rPr>
        <w:br w:type="page"/>
      </w:r>
    </w:p>
    <w:p w14:paraId="588FC1CE" w14:textId="77777777" w:rsidR="00825969" w:rsidRPr="001853D9" w:rsidRDefault="00825969" w:rsidP="005A6A28">
      <w:pPr>
        <w:pStyle w:val="Heading1"/>
        <w:spacing w:line="276" w:lineRule="auto"/>
        <w:rPr>
          <w:rFonts w:cstheme="majorHAnsi"/>
        </w:rPr>
      </w:pPr>
      <w:bookmarkStart w:id="5" w:name="_Toc82689353"/>
      <w:bookmarkStart w:id="6" w:name="_Toc82713951"/>
      <w:bookmarkStart w:id="7" w:name="_Toc82714685"/>
      <w:bookmarkStart w:id="8" w:name="_Toc98160512"/>
      <w:r w:rsidRPr="001853D9">
        <w:rPr>
          <w:rFonts w:cstheme="majorHAnsi"/>
        </w:rPr>
        <w:lastRenderedPageBreak/>
        <w:t>Σύνοψη</w:t>
      </w:r>
      <w:bookmarkEnd w:id="5"/>
      <w:bookmarkEnd w:id="6"/>
      <w:bookmarkEnd w:id="7"/>
      <w:bookmarkEnd w:id="8"/>
    </w:p>
    <w:p w14:paraId="1E0AED21" w14:textId="77777777" w:rsidR="00B36308" w:rsidRDefault="00B36308" w:rsidP="00B36308">
      <w:pPr>
        <w:spacing w:line="276" w:lineRule="auto"/>
        <w:jc w:val="both"/>
        <w:rPr>
          <w:rFonts w:cstheme="minorHAnsi"/>
          <w:color w:val="595959" w:themeColor="text1" w:themeTint="A6"/>
        </w:rPr>
      </w:pPr>
    </w:p>
    <w:p w14:paraId="2437D70B" w14:textId="77777777" w:rsidR="00B7647C" w:rsidRPr="0032533F" w:rsidRDefault="00B7647C" w:rsidP="00B7647C">
      <w:pPr>
        <w:spacing w:line="276" w:lineRule="auto"/>
        <w:jc w:val="both"/>
        <w:rPr>
          <w:rFonts w:cstheme="minorHAnsi"/>
          <w:color w:val="595959" w:themeColor="text1" w:themeTint="A6"/>
        </w:rPr>
      </w:pPr>
      <w:r w:rsidRPr="0032533F">
        <w:rPr>
          <w:rFonts w:cstheme="minorHAnsi"/>
          <w:color w:val="595959" w:themeColor="text1" w:themeTint="A6"/>
        </w:rPr>
        <w:t xml:space="preserve">Ο ρυθμός μεγέθυνσης της ελληνικής οικονομίας το 2021 </w:t>
      </w:r>
      <w:r w:rsidR="00BA19A6" w:rsidRPr="0032533F">
        <w:rPr>
          <w:rFonts w:cstheme="minorHAnsi"/>
          <w:color w:val="595959" w:themeColor="text1" w:themeTint="A6"/>
        </w:rPr>
        <w:t>διαμορφώθηκε σε</w:t>
      </w:r>
      <w:r w:rsidRPr="0032533F">
        <w:rPr>
          <w:rFonts w:cstheme="minorHAnsi"/>
          <w:color w:val="595959" w:themeColor="text1" w:themeTint="A6"/>
        </w:rPr>
        <w:t xml:space="preserve"> 8,3% </w:t>
      </w:r>
      <w:r w:rsidR="00F364B9" w:rsidRPr="0032533F">
        <w:rPr>
          <w:rFonts w:cstheme="minorHAnsi"/>
          <w:color w:val="595959" w:themeColor="text1" w:themeTint="A6"/>
        </w:rPr>
        <w:t>από -9,0% το 2020</w:t>
      </w:r>
      <w:r w:rsidR="00D93703" w:rsidRPr="0032533F">
        <w:rPr>
          <w:rFonts w:cstheme="minorHAnsi"/>
          <w:color w:val="595959" w:themeColor="text1" w:themeTint="A6"/>
        </w:rPr>
        <w:t xml:space="preserve"> και</w:t>
      </w:r>
      <w:r w:rsidR="00F364B9" w:rsidRPr="0032533F">
        <w:rPr>
          <w:rFonts w:cstheme="minorHAnsi"/>
          <w:color w:val="595959" w:themeColor="text1" w:themeTint="A6"/>
        </w:rPr>
        <w:t xml:space="preserve"> </w:t>
      </w:r>
      <w:r w:rsidR="00BA19A6" w:rsidRPr="0032533F">
        <w:rPr>
          <w:rFonts w:cstheme="minorHAnsi"/>
          <w:color w:val="595959" w:themeColor="text1" w:themeTint="A6"/>
        </w:rPr>
        <w:t xml:space="preserve">το πραγματικό ΑΕΠ </w:t>
      </w:r>
      <w:r w:rsidR="00D93703" w:rsidRPr="0032533F">
        <w:rPr>
          <w:rFonts w:cstheme="minorHAnsi"/>
          <w:color w:val="595959" w:themeColor="text1" w:themeTint="A6"/>
        </w:rPr>
        <w:t xml:space="preserve">είναι οριακά μικρότερο από το επίπεδο </w:t>
      </w:r>
      <w:r w:rsidR="00BA19A6" w:rsidRPr="0032533F">
        <w:rPr>
          <w:rFonts w:cstheme="minorHAnsi"/>
          <w:color w:val="595959" w:themeColor="text1" w:themeTint="A6"/>
        </w:rPr>
        <w:t xml:space="preserve">του 2019 </w:t>
      </w:r>
      <w:r w:rsidRPr="0032533F">
        <w:rPr>
          <w:rFonts w:cstheme="minorHAnsi"/>
          <w:color w:val="595959" w:themeColor="text1" w:themeTint="A6"/>
        </w:rPr>
        <w:t xml:space="preserve">(181 δις ευρώ έναντι 183,6 δις ευρώ σε σταθερές τιμές 2015). Το ποσοστό ανεργίας του Δεκεμβρίου </w:t>
      </w:r>
      <w:r w:rsidR="004660E0" w:rsidRPr="0032533F">
        <w:rPr>
          <w:rFonts w:cstheme="minorHAnsi"/>
          <w:color w:val="595959" w:themeColor="text1" w:themeTint="A6"/>
        </w:rPr>
        <w:t xml:space="preserve">2021 </w:t>
      </w:r>
      <w:r w:rsidRPr="0032533F">
        <w:rPr>
          <w:rFonts w:cstheme="minorHAnsi"/>
          <w:color w:val="595959" w:themeColor="text1" w:themeTint="A6"/>
        </w:rPr>
        <w:t xml:space="preserve">(12,8%) είναι αισθητά μειωμένο σε σχέση με το προηγούμενο έτος (15,5%) ενώ το έλλειμμα στο ισοζύγιο τρεχουσών συναλλαγών (10,6 δις ευρώ) </w:t>
      </w:r>
      <w:r w:rsidR="00D93703" w:rsidRPr="0032533F">
        <w:rPr>
          <w:rFonts w:cstheme="minorHAnsi"/>
          <w:color w:val="595959" w:themeColor="text1" w:themeTint="A6"/>
        </w:rPr>
        <w:t>παραμένει</w:t>
      </w:r>
      <w:r w:rsidRPr="0032533F">
        <w:rPr>
          <w:rFonts w:cstheme="minorHAnsi"/>
          <w:color w:val="595959" w:themeColor="text1" w:themeTint="A6"/>
        </w:rPr>
        <w:t xml:space="preserve"> σε ονομαστικούς όρους </w:t>
      </w:r>
      <w:r w:rsidR="00D93703" w:rsidRPr="0032533F">
        <w:rPr>
          <w:rFonts w:cstheme="minorHAnsi"/>
          <w:color w:val="595959" w:themeColor="text1" w:themeTint="A6"/>
        </w:rPr>
        <w:t>κοντά</w:t>
      </w:r>
      <w:r w:rsidRPr="0032533F">
        <w:rPr>
          <w:rFonts w:cstheme="minorHAnsi"/>
          <w:color w:val="595959" w:themeColor="text1" w:themeTint="A6"/>
        </w:rPr>
        <w:t xml:space="preserve"> στο επίπεδο </w:t>
      </w:r>
      <w:r w:rsidR="00D93703" w:rsidRPr="0032533F">
        <w:rPr>
          <w:rFonts w:cstheme="minorHAnsi"/>
          <w:color w:val="595959" w:themeColor="text1" w:themeTint="A6"/>
        </w:rPr>
        <w:t>του</w:t>
      </w:r>
      <w:r w:rsidRPr="0032533F">
        <w:rPr>
          <w:rFonts w:cstheme="minorHAnsi"/>
          <w:color w:val="595959" w:themeColor="text1" w:themeTint="A6"/>
        </w:rPr>
        <w:t xml:space="preserve"> 2020 αλλά σημαντικά υψηλότερο από το 2019 (2,7 δις ευρώ). Ο πληθωρισμός </w:t>
      </w:r>
      <w:r w:rsidR="00BA19A6" w:rsidRPr="0032533F">
        <w:rPr>
          <w:rFonts w:cstheme="minorHAnsi"/>
          <w:color w:val="595959" w:themeColor="text1" w:themeTint="A6"/>
        </w:rPr>
        <w:t xml:space="preserve">με βάση των εναρμονισμένο δείκτη τιμών καταναλωτή συνεχίζει </w:t>
      </w:r>
      <w:r w:rsidR="00AD2A72" w:rsidRPr="0032533F">
        <w:rPr>
          <w:rFonts w:cstheme="minorHAnsi"/>
          <w:color w:val="595959" w:themeColor="text1" w:themeTint="A6"/>
        </w:rPr>
        <w:t>να αυξάνεται</w:t>
      </w:r>
      <w:r w:rsidRPr="0032533F">
        <w:rPr>
          <w:rFonts w:cstheme="minorHAnsi"/>
          <w:color w:val="595959" w:themeColor="text1" w:themeTint="A6"/>
        </w:rPr>
        <w:t xml:space="preserve"> </w:t>
      </w:r>
      <w:r w:rsidR="00AD2A72" w:rsidRPr="0032533F">
        <w:rPr>
          <w:rFonts w:cstheme="minorHAnsi"/>
          <w:color w:val="595959" w:themeColor="text1" w:themeTint="A6"/>
        </w:rPr>
        <w:t>(</w:t>
      </w:r>
      <w:r w:rsidRPr="0032533F">
        <w:rPr>
          <w:rFonts w:cstheme="minorHAnsi"/>
          <w:color w:val="595959" w:themeColor="text1" w:themeTint="A6"/>
        </w:rPr>
        <w:t>6,3% τον Φεβρουάριο</w:t>
      </w:r>
      <w:r w:rsidR="00A83A81" w:rsidRPr="0032533F">
        <w:rPr>
          <w:rFonts w:cstheme="minorHAnsi"/>
          <w:color w:val="595959" w:themeColor="text1" w:themeTint="A6"/>
        </w:rPr>
        <w:t xml:space="preserve"> 2022</w:t>
      </w:r>
      <w:r w:rsidR="00BA19A6" w:rsidRPr="0032533F">
        <w:rPr>
          <w:rFonts w:cstheme="minorHAnsi"/>
          <w:color w:val="595959" w:themeColor="text1" w:themeTint="A6"/>
        </w:rPr>
        <w:t>)</w:t>
      </w:r>
      <w:r w:rsidRPr="0032533F">
        <w:rPr>
          <w:rFonts w:cstheme="minorHAnsi"/>
          <w:color w:val="595959" w:themeColor="text1" w:themeTint="A6"/>
        </w:rPr>
        <w:t xml:space="preserve"> </w:t>
      </w:r>
      <w:r w:rsidR="00BA19A6" w:rsidRPr="0032533F">
        <w:rPr>
          <w:rFonts w:cstheme="minorHAnsi"/>
          <w:color w:val="595959" w:themeColor="text1" w:themeTint="A6"/>
        </w:rPr>
        <w:t>εξαιτίας</w:t>
      </w:r>
      <w:r w:rsidR="00AD2A72" w:rsidRPr="0032533F">
        <w:rPr>
          <w:rFonts w:cstheme="minorHAnsi"/>
          <w:color w:val="595959" w:themeColor="text1" w:themeTint="A6"/>
        </w:rPr>
        <w:t xml:space="preserve"> των μεγάλων αυξήσεων</w:t>
      </w:r>
      <w:r w:rsidRPr="0032533F">
        <w:rPr>
          <w:rFonts w:cstheme="minorHAnsi"/>
          <w:color w:val="595959" w:themeColor="text1" w:themeTint="A6"/>
        </w:rPr>
        <w:t xml:space="preserve"> στις τιμές της στέγασης</w:t>
      </w:r>
      <w:r w:rsidR="00ED2302" w:rsidRPr="0032533F">
        <w:rPr>
          <w:rFonts w:cstheme="minorHAnsi"/>
          <w:color w:val="595959" w:themeColor="text1" w:themeTint="A6"/>
        </w:rPr>
        <w:t xml:space="preserve"> (26,3%)</w:t>
      </w:r>
      <w:r w:rsidR="00AD2A72" w:rsidRPr="0032533F">
        <w:rPr>
          <w:rFonts w:cstheme="minorHAnsi"/>
          <w:color w:val="595959" w:themeColor="text1" w:themeTint="A6"/>
        </w:rPr>
        <w:t xml:space="preserve">, </w:t>
      </w:r>
      <w:r w:rsidRPr="0032533F">
        <w:rPr>
          <w:rFonts w:cstheme="minorHAnsi"/>
          <w:color w:val="595959" w:themeColor="text1" w:themeTint="A6"/>
        </w:rPr>
        <w:t>των μεταφορών</w:t>
      </w:r>
      <w:r w:rsidR="00AD2A72" w:rsidRPr="0032533F">
        <w:rPr>
          <w:rFonts w:cstheme="minorHAnsi"/>
          <w:color w:val="595959" w:themeColor="text1" w:themeTint="A6"/>
        </w:rPr>
        <w:t xml:space="preserve"> </w:t>
      </w:r>
      <w:r w:rsidR="00ED2302" w:rsidRPr="0032533F">
        <w:rPr>
          <w:rFonts w:cstheme="minorHAnsi"/>
          <w:color w:val="595959" w:themeColor="text1" w:themeTint="A6"/>
        </w:rPr>
        <w:t xml:space="preserve">(8,8%) </w:t>
      </w:r>
      <w:r w:rsidR="00AD2A72" w:rsidRPr="0032533F">
        <w:rPr>
          <w:rFonts w:cstheme="minorHAnsi"/>
          <w:color w:val="595959" w:themeColor="text1" w:themeTint="A6"/>
        </w:rPr>
        <w:t>και των ειδών διατροφής και μη αλκοολούχων ποτών</w:t>
      </w:r>
      <w:r w:rsidR="00ED2302" w:rsidRPr="0032533F">
        <w:rPr>
          <w:rFonts w:cstheme="minorHAnsi"/>
          <w:color w:val="595959" w:themeColor="text1" w:themeTint="A6"/>
        </w:rPr>
        <w:t xml:space="preserve"> (7,2%)</w:t>
      </w:r>
      <w:r w:rsidRPr="0032533F">
        <w:rPr>
          <w:rFonts w:cstheme="minorHAnsi"/>
          <w:color w:val="595959" w:themeColor="text1" w:themeTint="A6"/>
        </w:rPr>
        <w:t>.</w:t>
      </w:r>
    </w:p>
    <w:p w14:paraId="0D41827D" w14:textId="77777777" w:rsidR="00B7647C" w:rsidRPr="0032533F" w:rsidRDefault="00B7647C" w:rsidP="00B7647C">
      <w:pPr>
        <w:spacing w:line="276" w:lineRule="auto"/>
        <w:jc w:val="both"/>
        <w:rPr>
          <w:rFonts w:cstheme="minorHAnsi"/>
          <w:color w:val="595959" w:themeColor="text1" w:themeTint="A6"/>
        </w:rPr>
      </w:pPr>
      <w:r w:rsidRPr="0032533F">
        <w:rPr>
          <w:rFonts w:cstheme="minorHAnsi"/>
          <w:color w:val="595959" w:themeColor="text1" w:themeTint="A6"/>
        </w:rPr>
        <w:t xml:space="preserve">Τα ετήσια δημοσιονομικά στοιχεία του 2022 δείχνουν μια σημαντική βελτίωση σε σχέση με το 2021 της τάξης των 2,2 δις ευρώ. Με την επιφύλαξη πιθανών προσαρμογών από την πλευρά της ΕΛΣΤΑΤ, αναμένουμε αισθητά μικρότερο πρωτογενές έλλειμμα από την εκτίμηση του προϋπολογισμού (12,8 δις ευρώ ή 7,3% του ΑΕΠ σε όρους ενισχυμένης εποπτείας) </w:t>
      </w:r>
      <w:r w:rsidR="003434C5" w:rsidRPr="0032533F">
        <w:rPr>
          <w:rFonts w:cstheme="minorHAnsi"/>
          <w:color w:val="595959" w:themeColor="text1" w:themeTint="A6"/>
        </w:rPr>
        <w:t xml:space="preserve">εξαιτίας και της </w:t>
      </w:r>
      <w:r w:rsidRPr="0032533F">
        <w:rPr>
          <w:rFonts w:cstheme="minorHAnsi"/>
          <w:color w:val="595959" w:themeColor="text1" w:themeTint="A6"/>
        </w:rPr>
        <w:t>επιπρόσθετη</w:t>
      </w:r>
      <w:r w:rsidR="003434C5" w:rsidRPr="0032533F">
        <w:rPr>
          <w:rFonts w:cstheme="minorHAnsi"/>
          <w:color w:val="595959" w:themeColor="text1" w:themeTint="A6"/>
        </w:rPr>
        <w:t>ς</w:t>
      </w:r>
      <w:r w:rsidRPr="0032533F">
        <w:rPr>
          <w:rFonts w:cstheme="minorHAnsi"/>
          <w:color w:val="595959" w:themeColor="text1" w:themeTint="A6"/>
        </w:rPr>
        <w:t xml:space="preserve"> βελτίωση</w:t>
      </w:r>
      <w:r w:rsidR="003434C5" w:rsidRPr="0032533F">
        <w:rPr>
          <w:rFonts w:cstheme="minorHAnsi"/>
          <w:color w:val="595959" w:themeColor="text1" w:themeTint="A6"/>
        </w:rPr>
        <w:t>ς</w:t>
      </w:r>
      <w:r w:rsidRPr="0032533F">
        <w:rPr>
          <w:rFonts w:cstheme="minorHAnsi"/>
          <w:color w:val="595959" w:themeColor="text1" w:themeTint="A6"/>
        </w:rPr>
        <w:t xml:space="preserve"> από το υψηλότερο ΑΕΠ σε σχέση με την πρόβλεψη του προϋπολογισμού (177,6 δις). Οι αποδόσεις των ελληνικών κρατικών ομολόγων παρουσίασαν αυξητική τάση από τον Νοέμβριο του </w:t>
      </w:r>
      <w:r w:rsidR="004660E0" w:rsidRPr="0032533F">
        <w:rPr>
          <w:rFonts w:cstheme="minorHAnsi"/>
          <w:color w:val="595959" w:themeColor="text1" w:themeTint="A6"/>
        </w:rPr>
        <w:t>2021</w:t>
      </w:r>
      <w:r w:rsidR="00D93703" w:rsidRPr="0032533F">
        <w:rPr>
          <w:rFonts w:cstheme="minorHAnsi"/>
          <w:color w:val="595959" w:themeColor="text1" w:themeTint="A6"/>
        </w:rPr>
        <w:t xml:space="preserve">, όπως στις περισσότερες ευρωπαϊκές </w:t>
      </w:r>
      <w:r w:rsidR="004660E0" w:rsidRPr="0032533F">
        <w:rPr>
          <w:rFonts w:cstheme="minorHAnsi"/>
          <w:color w:val="595959" w:themeColor="text1" w:themeTint="A6"/>
        </w:rPr>
        <w:t xml:space="preserve"> χώρες, </w:t>
      </w:r>
      <w:r w:rsidRPr="0032533F">
        <w:rPr>
          <w:rFonts w:cstheme="minorHAnsi"/>
          <w:color w:val="595959" w:themeColor="text1" w:themeTint="A6"/>
        </w:rPr>
        <w:t xml:space="preserve"> </w:t>
      </w:r>
      <w:r w:rsidR="004660E0" w:rsidRPr="0032533F">
        <w:rPr>
          <w:rFonts w:cstheme="minorHAnsi"/>
          <w:color w:val="595959" w:themeColor="text1" w:themeTint="A6"/>
        </w:rPr>
        <w:t>που</w:t>
      </w:r>
      <w:r w:rsidR="003434C5" w:rsidRPr="0032533F">
        <w:rPr>
          <w:rFonts w:cstheme="minorHAnsi"/>
          <w:color w:val="595959" w:themeColor="text1" w:themeTint="A6"/>
        </w:rPr>
        <w:t xml:space="preserve"> όμως </w:t>
      </w:r>
      <w:r w:rsidRPr="0032533F">
        <w:rPr>
          <w:rFonts w:cstheme="minorHAnsi"/>
          <w:color w:val="595959" w:themeColor="text1" w:themeTint="A6"/>
        </w:rPr>
        <w:t>δείχνει να περιορίζεται από τον Φεβρουάριο</w:t>
      </w:r>
      <w:r w:rsidR="00D93703" w:rsidRPr="0032533F">
        <w:rPr>
          <w:rFonts w:cstheme="minorHAnsi"/>
          <w:color w:val="595959" w:themeColor="text1" w:themeTint="A6"/>
        </w:rPr>
        <w:t xml:space="preserve"> 2022</w:t>
      </w:r>
      <w:r w:rsidR="003434C5" w:rsidRPr="0032533F">
        <w:rPr>
          <w:rFonts w:cstheme="minorHAnsi"/>
          <w:color w:val="595959" w:themeColor="text1" w:themeTint="A6"/>
        </w:rPr>
        <w:t>. Ω</w:t>
      </w:r>
      <w:r w:rsidRPr="0032533F">
        <w:rPr>
          <w:rFonts w:cstheme="minorHAnsi"/>
          <w:color w:val="595959" w:themeColor="text1" w:themeTint="A6"/>
        </w:rPr>
        <w:t xml:space="preserve">στόσο οι </w:t>
      </w:r>
      <w:r w:rsidR="003434C5" w:rsidRPr="0032533F">
        <w:rPr>
          <w:rFonts w:cstheme="minorHAnsi"/>
          <w:color w:val="595959" w:themeColor="text1" w:themeTint="A6"/>
        </w:rPr>
        <w:t>διαφορές αποδόσεων</w:t>
      </w:r>
      <w:r w:rsidR="00D93703" w:rsidRPr="0032533F">
        <w:rPr>
          <w:rFonts w:cstheme="minorHAnsi"/>
          <w:color w:val="595959" w:themeColor="text1" w:themeTint="A6"/>
        </w:rPr>
        <w:t xml:space="preserve"> </w:t>
      </w:r>
      <w:r w:rsidRPr="0032533F">
        <w:rPr>
          <w:rFonts w:cstheme="minorHAnsi"/>
          <w:color w:val="595959" w:themeColor="text1" w:themeTint="A6"/>
        </w:rPr>
        <w:t>(</w:t>
      </w:r>
      <w:r w:rsidRPr="0032533F">
        <w:rPr>
          <w:rFonts w:cstheme="minorHAnsi"/>
          <w:color w:val="595959" w:themeColor="text1" w:themeTint="A6"/>
          <w:lang w:val="en-US"/>
        </w:rPr>
        <w:t>spread</w:t>
      </w:r>
      <w:r w:rsidRPr="0032533F">
        <w:rPr>
          <w:rFonts w:cstheme="minorHAnsi"/>
          <w:color w:val="595959" w:themeColor="text1" w:themeTint="A6"/>
        </w:rPr>
        <w:t>) από άλλους ευρωπαϊκούς τίτλους διευρύνονται.</w:t>
      </w:r>
    </w:p>
    <w:p w14:paraId="25379F72" w14:textId="77777777" w:rsidR="00B7647C" w:rsidRPr="0032533F" w:rsidRDefault="00B7647C" w:rsidP="00B7647C">
      <w:pPr>
        <w:spacing w:line="276" w:lineRule="auto"/>
        <w:jc w:val="both"/>
        <w:rPr>
          <w:rFonts w:cstheme="minorHAnsi"/>
          <w:color w:val="595959" w:themeColor="text1" w:themeTint="A6"/>
        </w:rPr>
      </w:pPr>
      <w:r w:rsidRPr="0032533F">
        <w:rPr>
          <w:rFonts w:cstheme="minorHAnsi"/>
          <w:color w:val="595959" w:themeColor="text1" w:themeTint="A6"/>
        </w:rPr>
        <w:t xml:space="preserve">Από τα μέσα του προηγούμενου έτους η διεθνής οικονομία έχει εισέλθει σε φάση έντονων πληθωριστικών πιέσεων και </w:t>
      </w:r>
      <w:r w:rsidR="00177661" w:rsidRPr="0032533F">
        <w:rPr>
          <w:rFonts w:cstheme="minorHAnsi"/>
          <w:color w:val="595959" w:themeColor="text1" w:themeTint="A6"/>
        </w:rPr>
        <w:t xml:space="preserve">ιδιαίτερα </w:t>
      </w:r>
      <w:r w:rsidRPr="0032533F">
        <w:rPr>
          <w:rFonts w:cstheme="minorHAnsi"/>
          <w:color w:val="595959" w:themeColor="text1" w:themeTint="A6"/>
        </w:rPr>
        <w:t xml:space="preserve">αυξημένης αβεβαιότητας. Σε αυτές τις συνθήκες ήρθε να προστεθεί </w:t>
      </w:r>
      <w:r w:rsidR="003434C5" w:rsidRPr="0032533F">
        <w:rPr>
          <w:rFonts w:cstheme="minorHAnsi"/>
          <w:color w:val="595959" w:themeColor="text1" w:themeTint="A6"/>
        </w:rPr>
        <w:t xml:space="preserve">η εισβολή της Ρωσίας στην </w:t>
      </w:r>
      <w:r w:rsidRPr="0032533F">
        <w:rPr>
          <w:rFonts w:cstheme="minorHAnsi"/>
          <w:color w:val="595959" w:themeColor="text1" w:themeTint="A6"/>
        </w:rPr>
        <w:t xml:space="preserve"> Ουκρανία </w:t>
      </w:r>
      <w:r w:rsidR="003434C5" w:rsidRPr="0032533F">
        <w:rPr>
          <w:rFonts w:cstheme="minorHAnsi"/>
          <w:color w:val="595959" w:themeColor="text1" w:themeTint="A6"/>
        </w:rPr>
        <w:t xml:space="preserve">η οποία έχει </w:t>
      </w:r>
      <w:r w:rsidRPr="0032533F">
        <w:rPr>
          <w:rFonts w:cstheme="minorHAnsi"/>
          <w:color w:val="595959" w:themeColor="text1" w:themeTint="A6"/>
        </w:rPr>
        <w:t xml:space="preserve">δραματικές </w:t>
      </w:r>
      <w:r w:rsidR="003434C5" w:rsidRPr="0032533F">
        <w:rPr>
          <w:rFonts w:cstheme="minorHAnsi"/>
          <w:color w:val="595959" w:themeColor="text1" w:themeTint="A6"/>
        </w:rPr>
        <w:t xml:space="preserve">συνέπειες, όπως </w:t>
      </w:r>
      <w:r w:rsidRPr="0032533F">
        <w:rPr>
          <w:rFonts w:cstheme="minorHAnsi"/>
          <w:color w:val="595959" w:themeColor="text1" w:themeTint="A6"/>
        </w:rPr>
        <w:t xml:space="preserve">ανθρώπινες </w:t>
      </w:r>
      <w:r w:rsidR="003434C5" w:rsidRPr="0032533F">
        <w:rPr>
          <w:rFonts w:cstheme="minorHAnsi"/>
          <w:color w:val="595959" w:themeColor="text1" w:themeTint="A6"/>
        </w:rPr>
        <w:t xml:space="preserve">απώλειες και </w:t>
      </w:r>
      <w:r w:rsidRPr="0032533F">
        <w:rPr>
          <w:rFonts w:cstheme="minorHAnsi"/>
          <w:color w:val="595959" w:themeColor="text1" w:themeTint="A6"/>
        </w:rPr>
        <w:t>καταστροφές</w:t>
      </w:r>
      <w:r w:rsidR="003434C5" w:rsidRPr="0032533F">
        <w:rPr>
          <w:rFonts w:cstheme="minorHAnsi"/>
          <w:color w:val="595959" w:themeColor="text1" w:themeTint="A6"/>
        </w:rPr>
        <w:t xml:space="preserve"> στις υποδομές και το παραγωγικό δυναμικό της Ουκρανίας. Αναπόφευκτα ο πόλεμος στην Ουκρανία έχει οδηγήσει σε </w:t>
      </w:r>
      <w:r w:rsidRPr="0032533F">
        <w:rPr>
          <w:rFonts w:cstheme="minorHAnsi"/>
          <w:color w:val="595959" w:themeColor="text1" w:themeTint="A6"/>
        </w:rPr>
        <w:t>ανατροπές σε καθιερωμένες</w:t>
      </w:r>
      <w:r w:rsidR="003434C5" w:rsidRPr="0032533F">
        <w:rPr>
          <w:rFonts w:cstheme="minorHAnsi"/>
          <w:color w:val="595959" w:themeColor="text1" w:themeTint="A6"/>
        </w:rPr>
        <w:t xml:space="preserve"> </w:t>
      </w:r>
      <w:r w:rsidRPr="0032533F">
        <w:rPr>
          <w:rFonts w:cstheme="minorHAnsi"/>
          <w:color w:val="595959" w:themeColor="text1" w:themeTint="A6"/>
        </w:rPr>
        <w:t xml:space="preserve">γεωπολιτικές ισορροπίες </w:t>
      </w:r>
      <w:r w:rsidR="003434C5" w:rsidRPr="0032533F">
        <w:rPr>
          <w:rFonts w:cstheme="minorHAnsi"/>
          <w:color w:val="595959" w:themeColor="text1" w:themeTint="A6"/>
        </w:rPr>
        <w:t xml:space="preserve">καθώς </w:t>
      </w:r>
      <w:r w:rsidRPr="0032533F">
        <w:rPr>
          <w:rFonts w:cstheme="minorHAnsi"/>
          <w:color w:val="595959" w:themeColor="text1" w:themeTint="A6"/>
        </w:rPr>
        <w:t xml:space="preserve">και </w:t>
      </w:r>
      <w:r w:rsidR="003434C5" w:rsidRPr="0032533F">
        <w:rPr>
          <w:rFonts w:cstheme="minorHAnsi"/>
          <w:color w:val="595959" w:themeColor="text1" w:themeTint="A6"/>
        </w:rPr>
        <w:t xml:space="preserve">σε </w:t>
      </w:r>
      <w:r w:rsidRPr="0032533F">
        <w:rPr>
          <w:rFonts w:cstheme="minorHAnsi"/>
          <w:color w:val="595959" w:themeColor="text1" w:themeTint="A6"/>
        </w:rPr>
        <w:t xml:space="preserve">σοβαρές οικονομικές </w:t>
      </w:r>
      <w:r w:rsidR="003434C5" w:rsidRPr="0032533F">
        <w:rPr>
          <w:rFonts w:cstheme="minorHAnsi"/>
          <w:color w:val="595959" w:themeColor="text1" w:themeTint="A6"/>
        </w:rPr>
        <w:t xml:space="preserve">αναταράξεις </w:t>
      </w:r>
      <w:r w:rsidR="00177661" w:rsidRPr="0032533F">
        <w:rPr>
          <w:rFonts w:cstheme="minorHAnsi"/>
          <w:color w:val="595959" w:themeColor="text1" w:themeTint="A6"/>
        </w:rPr>
        <w:t>παγκόσμια</w:t>
      </w:r>
      <w:r w:rsidRPr="0032533F">
        <w:rPr>
          <w:rFonts w:cstheme="minorHAnsi"/>
          <w:color w:val="595959" w:themeColor="text1" w:themeTint="A6"/>
        </w:rPr>
        <w:t xml:space="preserve">. Ειδικότερα, η αύξηση στις τιμές της ενέργειας, των τροφίμων και άλλων εμπορευμάτων θα ενισχύσει τις πληθωριστικές πιέσεις και θα επιβραδύνει τους ρυθμούς μεγέθυνσης. Τα προβλήματα θα είναι εντονότερα στην Ευρώπη όπου το μαζικό προσφυγικό κύμα, η αναθεώρηση των αμυντικών στρατηγικών και η προσπάθεια περιορισμού της εξάρτησης από το φυσικό αέριο </w:t>
      </w:r>
      <w:r w:rsidR="006F6BB8" w:rsidRPr="0032533F">
        <w:rPr>
          <w:rFonts w:cstheme="minorHAnsi"/>
          <w:color w:val="595959" w:themeColor="text1" w:themeTint="A6"/>
        </w:rPr>
        <w:t xml:space="preserve">της Ρωσίας </w:t>
      </w:r>
      <w:r w:rsidRPr="0032533F">
        <w:rPr>
          <w:rFonts w:cstheme="minorHAnsi"/>
          <w:color w:val="595959" w:themeColor="text1" w:themeTint="A6"/>
        </w:rPr>
        <w:t xml:space="preserve">θα προκαλέσουν πρόσθετη επιβάρυνση στους κρατικούς προϋπολογισμούς. </w:t>
      </w:r>
    </w:p>
    <w:p w14:paraId="61ECAE6E" w14:textId="77777777" w:rsidR="00C517C2" w:rsidRPr="0032533F" w:rsidRDefault="00B7647C" w:rsidP="00B7647C">
      <w:pPr>
        <w:spacing w:line="276" w:lineRule="auto"/>
        <w:jc w:val="both"/>
        <w:rPr>
          <w:rFonts w:cstheme="minorHAnsi"/>
          <w:color w:val="595959" w:themeColor="text1" w:themeTint="A6"/>
        </w:rPr>
      </w:pPr>
      <w:bookmarkStart w:id="9" w:name="_Hlk98233142"/>
      <w:r w:rsidRPr="0032533F">
        <w:rPr>
          <w:rFonts w:cstheme="minorHAnsi"/>
          <w:color w:val="595959" w:themeColor="text1" w:themeTint="A6"/>
        </w:rPr>
        <w:t xml:space="preserve">Αυτές οι έκτακτες συνθήκες δημιουργούν σημαντικές προκλήσεις για τη χώρα μας. Οι προβλέψεις του Γραφείου Προϋπολογισμού για την οικονομική μεγέθυνση του 2022 ήταν στο 3,58% πριν την έναρξη </w:t>
      </w:r>
      <w:r w:rsidR="003434C5" w:rsidRPr="0032533F">
        <w:rPr>
          <w:rFonts w:cstheme="minorHAnsi"/>
          <w:color w:val="595959" w:themeColor="text1" w:themeTint="A6"/>
        </w:rPr>
        <w:t>της Ρωσικής</w:t>
      </w:r>
      <w:r w:rsidRPr="0032533F">
        <w:rPr>
          <w:rFonts w:cstheme="minorHAnsi"/>
          <w:color w:val="595959" w:themeColor="text1" w:themeTint="A6"/>
        </w:rPr>
        <w:t xml:space="preserve"> εισβολής στην Ουκρανία και περιορίζονται </w:t>
      </w:r>
      <w:r w:rsidR="00077279" w:rsidRPr="0032533F">
        <w:rPr>
          <w:rFonts w:cstheme="minorHAnsi"/>
          <w:color w:val="595959" w:themeColor="text1" w:themeTint="A6"/>
        </w:rPr>
        <w:t xml:space="preserve">στο </w:t>
      </w:r>
      <w:r w:rsidRPr="0032533F">
        <w:rPr>
          <w:rFonts w:cstheme="minorHAnsi"/>
          <w:color w:val="595959" w:themeColor="text1" w:themeTint="A6"/>
        </w:rPr>
        <w:t xml:space="preserve">2,75% </w:t>
      </w:r>
      <w:r w:rsidR="003434C5" w:rsidRPr="0032533F">
        <w:rPr>
          <w:rFonts w:cstheme="minorHAnsi"/>
          <w:color w:val="595959" w:themeColor="text1" w:themeTint="A6"/>
        </w:rPr>
        <w:t xml:space="preserve">στο </w:t>
      </w:r>
      <w:r w:rsidR="00107718" w:rsidRPr="0032533F">
        <w:rPr>
          <w:rFonts w:cstheme="minorHAnsi"/>
          <w:color w:val="595959" w:themeColor="text1" w:themeTint="A6"/>
        </w:rPr>
        <w:t>ήπιο σενάριο και 2,21</w:t>
      </w:r>
      <w:r w:rsidRPr="0032533F">
        <w:rPr>
          <w:rFonts w:cstheme="minorHAnsi"/>
          <w:color w:val="595959" w:themeColor="text1" w:themeTint="A6"/>
        </w:rPr>
        <w:t xml:space="preserve">% </w:t>
      </w:r>
      <w:r w:rsidR="003434C5" w:rsidRPr="0032533F">
        <w:rPr>
          <w:rFonts w:cstheme="minorHAnsi"/>
          <w:color w:val="595959" w:themeColor="text1" w:themeTint="A6"/>
        </w:rPr>
        <w:t xml:space="preserve">στο </w:t>
      </w:r>
      <w:r w:rsidRPr="0032533F">
        <w:rPr>
          <w:rFonts w:cstheme="minorHAnsi"/>
          <w:color w:val="595959" w:themeColor="text1" w:themeTint="A6"/>
        </w:rPr>
        <w:t xml:space="preserve">δυσμενές σενάριο ανάλογα με </w:t>
      </w:r>
      <w:r w:rsidR="003739CA" w:rsidRPr="0032533F">
        <w:rPr>
          <w:rFonts w:cstheme="minorHAnsi"/>
          <w:color w:val="595959" w:themeColor="text1" w:themeTint="A6"/>
        </w:rPr>
        <w:t>την έκταση των διαταραχών</w:t>
      </w:r>
      <w:r w:rsidR="006F6BB8" w:rsidRPr="0032533F">
        <w:rPr>
          <w:rFonts w:cstheme="minorHAnsi"/>
          <w:color w:val="595959" w:themeColor="text1" w:themeTint="A6"/>
        </w:rPr>
        <w:t xml:space="preserve"> </w:t>
      </w:r>
      <w:r w:rsidR="000B495B" w:rsidRPr="0032533F">
        <w:rPr>
          <w:rFonts w:cstheme="minorHAnsi"/>
          <w:color w:val="595959" w:themeColor="text1" w:themeTint="A6"/>
        </w:rPr>
        <w:t xml:space="preserve">στις διεθνείς τιμές ενέργειας και τροφίμων </w:t>
      </w:r>
      <w:r w:rsidR="008A486D" w:rsidRPr="0032533F">
        <w:rPr>
          <w:rFonts w:cstheme="minorHAnsi"/>
          <w:color w:val="595959" w:themeColor="text1" w:themeTint="A6"/>
        </w:rPr>
        <w:t xml:space="preserve">καθώς </w:t>
      </w:r>
      <w:r w:rsidR="000B495B" w:rsidRPr="0032533F">
        <w:rPr>
          <w:rFonts w:cstheme="minorHAnsi"/>
          <w:color w:val="595959" w:themeColor="text1" w:themeTint="A6"/>
        </w:rPr>
        <w:t xml:space="preserve">και την επιδείνωση του κλίματος εμπιστοσύνης και την αναταραχή των χρηματοπιστωτικών αγορών. </w:t>
      </w:r>
      <w:r w:rsidR="00C517C2" w:rsidRPr="0032533F">
        <w:rPr>
          <w:rFonts w:cstheme="minorHAnsi"/>
          <w:color w:val="595959" w:themeColor="text1" w:themeTint="A6"/>
        </w:rPr>
        <w:t xml:space="preserve"> </w:t>
      </w:r>
      <w:r w:rsidR="00C517C2" w:rsidRPr="0032533F">
        <w:rPr>
          <w:rFonts w:eastAsia="Calibri" w:cstheme="minorHAnsi"/>
          <w:color w:val="595959" w:themeColor="text1" w:themeTint="A6"/>
        </w:rPr>
        <w:t xml:space="preserve">Ωστόσο, η </w:t>
      </w:r>
      <w:r w:rsidR="00C517C2" w:rsidRPr="0032533F">
        <w:rPr>
          <w:rFonts w:eastAsia="Calibri" w:cstheme="minorHAnsi"/>
          <w:color w:val="595959" w:themeColor="text1" w:themeTint="A6"/>
        </w:rPr>
        <w:lastRenderedPageBreak/>
        <w:t xml:space="preserve">τελική επίπτωση θα εξαρτηθεί από την διάρκεια </w:t>
      </w:r>
      <w:r w:rsidR="003739CA" w:rsidRPr="0032533F">
        <w:rPr>
          <w:rFonts w:eastAsia="Calibri" w:cstheme="minorHAnsi"/>
          <w:color w:val="595959" w:themeColor="text1" w:themeTint="A6"/>
        </w:rPr>
        <w:t>του πολέμου</w:t>
      </w:r>
      <w:r w:rsidR="00C517C2" w:rsidRPr="0032533F">
        <w:rPr>
          <w:rFonts w:eastAsia="Calibri" w:cstheme="minorHAnsi"/>
          <w:color w:val="595959" w:themeColor="text1" w:themeTint="A6"/>
        </w:rPr>
        <w:t xml:space="preserve">, την </w:t>
      </w:r>
      <w:r w:rsidR="003739CA" w:rsidRPr="0032533F">
        <w:rPr>
          <w:rFonts w:eastAsia="Calibri" w:cstheme="minorHAnsi"/>
          <w:color w:val="595959" w:themeColor="text1" w:themeTint="A6"/>
        </w:rPr>
        <w:t>έκβασή του</w:t>
      </w:r>
      <w:r w:rsidR="00C517C2" w:rsidRPr="0032533F">
        <w:rPr>
          <w:rFonts w:eastAsia="Calibri" w:cstheme="minorHAnsi"/>
          <w:color w:val="595959" w:themeColor="text1" w:themeTint="A6"/>
        </w:rPr>
        <w:t xml:space="preserve"> και την αντίδραση της νομισματικής και δημοσιονομικής πολιτικής</w:t>
      </w:r>
      <w:r w:rsidR="00B679AD" w:rsidRPr="0032533F">
        <w:rPr>
          <w:rFonts w:eastAsia="Calibri" w:cstheme="minorHAnsi"/>
          <w:color w:val="595959" w:themeColor="text1" w:themeTint="A6"/>
        </w:rPr>
        <w:t xml:space="preserve"> </w:t>
      </w:r>
      <w:r w:rsidR="00B679AD" w:rsidRPr="0032533F">
        <w:rPr>
          <w:rFonts w:cstheme="minorHAnsi"/>
          <w:color w:val="595959" w:themeColor="text1" w:themeTint="A6"/>
        </w:rPr>
        <w:t>σε ευρωπαϊκό επίπεδο</w:t>
      </w:r>
      <w:r w:rsidR="00C517C2" w:rsidRPr="0032533F">
        <w:rPr>
          <w:rFonts w:eastAsia="Calibri" w:cstheme="minorHAnsi"/>
          <w:color w:val="595959" w:themeColor="text1" w:themeTint="A6"/>
        </w:rPr>
        <w:t>.</w:t>
      </w:r>
      <w:r w:rsidR="00CB1B32" w:rsidRPr="0032533F">
        <w:rPr>
          <w:rFonts w:eastAsia="Calibri" w:cstheme="minorHAnsi"/>
          <w:color w:val="595959" w:themeColor="text1" w:themeTint="A6"/>
        </w:rPr>
        <w:t xml:space="preserve"> </w:t>
      </w:r>
    </w:p>
    <w:p w14:paraId="4FEC9FE1" w14:textId="77777777" w:rsidR="006F6BB8" w:rsidRPr="0032533F" w:rsidRDefault="00C517C2" w:rsidP="00B22B73">
      <w:pPr>
        <w:spacing w:line="276" w:lineRule="auto"/>
        <w:jc w:val="both"/>
        <w:rPr>
          <w:rFonts w:cstheme="minorHAnsi"/>
          <w:color w:val="595959" w:themeColor="text1" w:themeTint="A6"/>
        </w:rPr>
      </w:pPr>
      <w:r w:rsidRPr="0032533F">
        <w:rPr>
          <w:rFonts w:cstheme="minorHAnsi"/>
          <w:color w:val="595959" w:themeColor="text1" w:themeTint="A6"/>
        </w:rPr>
        <w:t>Οι επιπτώσεις του πολέμου αναμένεται να οδηγήσουν σε</w:t>
      </w:r>
      <w:r w:rsidR="00B7647C" w:rsidRPr="0032533F">
        <w:rPr>
          <w:rFonts w:cstheme="minorHAnsi"/>
          <w:color w:val="595959" w:themeColor="text1" w:themeTint="A6"/>
        </w:rPr>
        <w:t xml:space="preserve"> έντονες δημοσιονομικές πιέσεις τόσο από την πλευρά των εσόδων (λόγω οικονομικής επιβράδυνσης) όσο και από την πλευρά των δαπανών (πίεση για κάλυψη ενεργειακού κόστους). </w:t>
      </w:r>
      <w:r w:rsidRPr="0032533F">
        <w:rPr>
          <w:rFonts w:cstheme="minorHAnsi"/>
          <w:color w:val="595959" w:themeColor="text1" w:themeTint="A6"/>
        </w:rPr>
        <w:t>Ωστόσο, θα πρέπει να επισημανθεί ότι</w:t>
      </w:r>
      <w:r w:rsidR="00B22B73" w:rsidRPr="0032533F">
        <w:rPr>
          <w:rFonts w:cstheme="minorHAnsi"/>
          <w:color w:val="595959" w:themeColor="text1" w:themeTint="A6"/>
        </w:rPr>
        <w:t>,</w:t>
      </w:r>
      <w:r w:rsidR="00D93703" w:rsidRPr="0032533F">
        <w:rPr>
          <w:rFonts w:cstheme="minorHAnsi"/>
          <w:color w:val="595959" w:themeColor="text1" w:themeTint="A6"/>
        </w:rPr>
        <w:t xml:space="preserve"> </w:t>
      </w:r>
      <w:r w:rsidR="00B22B73" w:rsidRPr="0032533F">
        <w:rPr>
          <w:rFonts w:cstheme="minorHAnsi"/>
          <w:color w:val="595959" w:themeColor="text1" w:themeTint="A6"/>
        </w:rPr>
        <w:t>ακόμα και αν αποφασιστεί σε ευρωπαϊκό επίπεδο μια παράταση της γενικής ρήτρας διαφυγής του Συμφώνου Σταθερότητας και Ανάπτυξης και για το 2023 ή μια ενδεχόμενη εξαίρεση των αμυντικών δαπανών από τους ευρωπαϊκού</w:t>
      </w:r>
      <w:r w:rsidR="00646D03" w:rsidRPr="0032533F">
        <w:rPr>
          <w:rFonts w:cstheme="minorHAnsi"/>
          <w:color w:val="595959" w:themeColor="text1" w:themeTint="A6"/>
        </w:rPr>
        <w:t>ς</w:t>
      </w:r>
      <w:r w:rsidR="00B22B73" w:rsidRPr="0032533F">
        <w:rPr>
          <w:rFonts w:cstheme="minorHAnsi"/>
          <w:color w:val="595959" w:themeColor="text1" w:themeTint="A6"/>
        </w:rPr>
        <w:t xml:space="preserve"> δημοσιονομικούς κανόνες, </w:t>
      </w:r>
      <w:r w:rsidR="00B7647C" w:rsidRPr="0032533F">
        <w:rPr>
          <w:rFonts w:cstheme="minorHAnsi"/>
          <w:color w:val="595959" w:themeColor="text1" w:themeTint="A6"/>
        </w:rPr>
        <w:t xml:space="preserve">οι δημοσιονομικές δυνατότητες της χώρας μας είναι περιορισμένες. Οι πρωτοφανείς επεκτατικές πολιτικές που ασκήθηκαν </w:t>
      </w:r>
      <w:r w:rsidR="00B22B73" w:rsidRPr="0032533F">
        <w:rPr>
          <w:rFonts w:cstheme="minorHAnsi"/>
          <w:color w:val="595959" w:themeColor="text1" w:themeTint="A6"/>
        </w:rPr>
        <w:t xml:space="preserve">για την αντιμετώπιση της </w:t>
      </w:r>
      <w:r w:rsidR="00B7647C" w:rsidRPr="0032533F">
        <w:rPr>
          <w:rFonts w:cstheme="minorHAnsi"/>
          <w:color w:val="595959" w:themeColor="text1" w:themeTint="A6"/>
        </w:rPr>
        <w:t xml:space="preserve">πανδημίας έχουν προκαλέσει μια σωρευτική δημοσιονομική επιδείνωση της τάξης των 30 δις ευρώ. Ο συνδυασμός μειωμένων φορολογικών εσόδων και αυξημένων δαπανών, παρότι αναγκαίος στις έκτακτες συνθήκες, δεν είναι βιώσιμος μεσοπρόθεσμα. Το ύψος του </w:t>
      </w:r>
      <w:r w:rsidR="00B679AD" w:rsidRPr="0032533F">
        <w:rPr>
          <w:rFonts w:cstheme="minorHAnsi"/>
          <w:color w:val="595959" w:themeColor="text1" w:themeTint="A6"/>
        </w:rPr>
        <w:t xml:space="preserve">πρωτογενούς </w:t>
      </w:r>
      <w:r w:rsidR="00B7647C" w:rsidRPr="0032533F">
        <w:rPr>
          <w:rFonts w:cstheme="minorHAnsi"/>
          <w:color w:val="595959" w:themeColor="text1" w:themeTint="A6"/>
        </w:rPr>
        <w:t>ελλείμματος</w:t>
      </w:r>
      <w:r w:rsidR="00B679AD" w:rsidRPr="0032533F">
        <w:rPr>
          <w:rFonts w:cstheme="minorHAnsi"/>
          <w:color w:val="595959" w:themeColor="text1" w:themeTint="A6"/>
        </w:rPr>
        <w:t xml:space="preserve"> της γενικής κυβέρνησης</w:t>
      </w:r>
      <w:r w:rsidR="00B7647C" w:rsidRPr="0032533F">
        <w:rPr>
          <w:rFonts w:cstheme="minorHAnsi"/>
          <w:color w:val="595959" w:themeColor="text1" w:themeTint="A6"/>
        </w:rPr>
        <w:t xml:space="preserve"> και του </w:t>
      </w:r>
      <w:r w:rsidR="00B679AD" w:rsidRPr="0032533F">
        <w:rPr>
          <w:rFonts w:cstheme="minorHAnsi"/>
          <w:color w:val="595959" w:themeColor="text1" w:themeTint="A6"/>
        </w:rPr>
        <w:t xml:space="preserve">δημόσιου </w:t>
      </w:r>
      <w:r w:rsidR="00B7647C" w:rsidRPr="0032533F">
        <w:rPr>
          <w:rFonts w:cstheme="minorHAnsi"/>
          <w:color w:val="595959" w:themeColor="text1" w:themeTint="A6"/>
        </w:rPr>
        <w:t>χρέους σε συνδυασμό με την απουσία επενδυτικής βαθμίδας</w:t>
      </w:r>
      <w:r w:rsidR="00B679AD" w:rsidRPr="0032533F">
        <w:rPr>
          <w:rFonts w:cstheme="minorHAnsi"/>
          <w:color w:val="595959" w:themeColor="text1" w:themeTint="A6"/>
        </w:rPr>
        <w:t xml:space="preserve"> </w:t>
      </w:r>
      <w:r w:rsidR="00B7647C" w:rsidRPr="0032533F">
        <w:rPr>
          <w:rFonts w:cstheme="minorHAnsi"/>
          <w:color w:val="595959" w:themeColor="text1" w:themeTint="A6"/>
        </w:rPr>
        <w:t xml:space="preserve">καθιστούν τα ελληνικά </w:t>
      </w:r>
      <w:r w:rsidR="00B679AD" w:rsidRPr="0032533F">
        <w:rPr>
          <w:rFonts w:cstheme="minorHAnsi"/>
          <w:color w:val="595959" w:themeColor="text1" w:themeTint="A6"/>
        </w:rPr>
        <w:t>κρατικά ομόλογα</w:t>
      </w:r>
      <w:r w:rsidR="00B7647C" w:rsidRPr="0032533F">
        <w:rPr>
          <w:rFonts w:cstheme="minorHAnsi"/>
          <w:color w:val="595959" w:themeColor="text1" w:themeTint="A6"/>
        </w:rPr>
        <w:t xml:space="preserve"> ιδιαίτερα ευάλωτα σε ενδεχόμενες διαταραχές </w:t>
      </w:r>
      <w:r w:rsidR="00B679AD" w:rsidRPr="0032533F">
        <w:rPr>
          <w:rFonts w:cstheme="minorHAnsi"/>
          <w:color w:val="595959" w:themeColor="text1" w:themeTint="A6"/>
        </w:rPr>
        <w:t>στις χρηματοπιστωτικές αγορές, παρά τη στήριξη από την ΕΚΤ</w:t>
      </w:r>
      <w:r w:rsidR="00B7647C" w:rsidRPr="0032533F">
        <w:rPr>
          <w:rFonts w:cstheme="minorHAnsi"/>
          <w:color w:val="595959" w:themeColor="text1" w:themeTint="A6"/>
        </w:rPr>
        <w:t xml:space="preserve">. </w:t>
      </w:r>
    </w:p>
    <w:p w14:paraId="43BE667C" w14:textId="77777777" w:rsidR="00B22B73" w:rsidRPr="0032533F" w:rsidRDefault="00B7647C" w:rsidP="00B22B73">
      <w:pPr>
        <w:spacing w:line="276" w:lineRule="auto"/>
        <w:jc w:val="both"/>
        <w:rPr>
          <w:rFonts w:cstheme="minorHAnsi"/>
          <w:color w:val="595959" w:themeColor="text1" w:themeTint="A6"/>
        </w:rPr>
      </w:pPr>
      <w:r w:rsidRPr="0032533F">
        <w:rPr>
          <w:rFonts w:cstheme="minorHAnsi"/>
          <w:color w:val="595959" w:themeColor="text1" w:themeTint="A6"/>
        </w:rPr>
        <w:t xml:space="preserve">Με βάση τα παραπάνω θεωρούμε </w:t>
      </w:r>
      <w:r w:rsidR="005365B5" w:rsidRPr="0032533F">
        <w:rPr>
          <w:rFonts w:cstheme="minorHAnsi"/>
          <w:color w:val="595959" w:themeColor="text1" w:themeTint="A6"/>
        </w:rPr>
        <w:t xml:space="preserve">ότι η επαναφορά της δημοσιονομικής ισορροπίας αποτελεί μείζονα προτεραιότητα. Συνεπώς, όσον αφορά τη δημοσιονομική πολιτική, οι όποιες επεκτατικές παρεμβάσεις πρέπει να είναι προσωρινές και να περιοριστούν αποκλειστικά στην απορρόφηση του αυξημένου ενεργειακού κόστους με στόχευση στις ευάλωτες ομάδες. Αντίθετα, θα πρέπει να αποφευχθούν οριζόντιες παρεμβάσεις καθώς και μόνιμα μέτρα δημοσιονομικής χαλάρωσης που δεν σχετίζονται με το ενεργειακό κόστος. </w:t>
      </w:r>
      <w:r w:rsidR="005D5832" w:rsidRPr="0032533F">
        <w:rPr>
          <w:rFonts w:cstheme="minorHAnsi"/>
          <w:color w:val="595959" w:themeColor="text1" w:themeTint="A6"/>
        </w:rPr>
        <w:t xml:space="preserve">Κατανοούμε ότι η έντονη πολιτική πόλωση που επικρατεί δεν ενθαρρύνει τη δημοσιονομική υπευθυνότητα. Όμως η παράδοση της δημοσιονομικής πλειοδοσίας δεν καθιστά λιγότερο επιτακτική την ανάγκη προετοιμασίας απέναντι σε προκλήσεις με άγνωστη διάρκεια και έκβαση. Η δημοσιονομική ασφάλεια της χώρας απαιτεί μια ελάχιστη πολιτική συναίνεση πάνω στους κύριους άξονες στρατηγικής που θα ενισχύσει το κλίμα οικονομικής εμπιστοσύνης, θα βελτιώσει το αίσθημα ασφάλειας των πολιτών, και κατ’ επέκταση θα καταστήσει περισσότερο διαχειρίσιμες </w:t>
      </w:r>
      <w:r w:rsidR="0007113F" w:rsidRPr="0032533F">
        <w:rPr>
          <w:rFonts w:cstheme="minorHAnsi"/>
          <w:color w:val="595959" w:themeColor="text1" w:themeTint="A6"/>
        </w:rPr>
        <w:t>τις</w:t>
      </w:r>
      <w:r w:rsidR="005D5832" w:rsidRPr="0032533F">
        <w:rPr>
          <w:rFonts w:cstheme="minorHAnsi"/>
          <w:color w:val="595959" w:themeColor="text1" w:themeTint="A6"/>
        </w:rPr>
        <w:t xml:space="preserve"> όποιες αρνητικές επιπτώσεις στην ελληνική οικονομία. Διαφορετικά, αν η χώρα μας οδηγηθεί σε νέα αύξηση του δημόσιου χρέους, κινδυνεύει να αντιμετωπίσει δυσάρεστες δημοσιονομικές καταστάσεις.</w:t>
      </w:r>
    </w:p>
    <w:p w14:paraId="7A6E8486" w14:textId="77777777" w:rsidR="00B7647C" w:rsidRPr="00B7647C" w:rsidRDefault="00B7647C" w:rsidP="00B7647C">
      <w:pPr>
        <w:spacing w:line="276" w:lineRule="auto"/>
        <w:jc w:val="both"/>
        <w:rPr>
          <w:rFonts w:asciiTheme="majorHAnsi" w:hAnsiTheme="majorHAnsi" w:cstheme="majorHAnsi"/>
          <w:color w:val="595959" w:themeColor="text1" w:themeTint="A6"/>
        </w:rPr>
      </w:pPr>
    </w:p>
    <w:bookmarkEnd w:id="9"/>
    <w:p w14:paraId="7CDF14F1" w14:textId="77777777" w:rsidR="00825969" w:rsidRPr="001853D9" w:rsidRDefault="00825969" w:rsidP="005A6A28">
      <w:pPr>
        <w:spacing w:line="276" w:lineRule="auto"/>
        <w:jc w:val="both"/>
        <w:rPr>
          <w:rFonts w:asciiTheme="majorHAnsi" w:hAnsiTheme="majorHAnsi" w:cstheme="majorHAnsi"/>
          <w:color w:val="595959" w:themeColor="text1" w:themeTint="A6"/>
        </w:rPr>
      </w:pPr>
    </w:p>
    <w:p w14:paraId="153362F4" w14:textId="77777777" w:rsidR="001D34F1" w:rsidRPr="001853D9" w:rsidRDefault="001D34F1" w:rsidP="005A6A28">
      <w:pPr>
        <w:spacing w:after="200" w:line="276" w:lineRule="auto"/>
        <w:jc w:val="both"/>
        <w:rPr>
          <w:rFonts w:asciiTheme="majorHAnsi" w:eastAsia="Calibri" w:hAnsiTheme="majorHAnsi" w:cstheme="majorHAnsi"/>
          <w:color w:val="595959" w:themeColor="text1" w:themeTint="A6"/>
        </w:rPr>
      </w:pPr>
    </w:p>
    <w:p w14:paraId="6F67F8CA" w14:textId="77777777" w:rsidR="001D34F1" w:rsidRPr="001853D9" w:rsidRDefault="001D34F1" w:rsidP="005A6A28">
      <w:pPr>
        <w:spacing w:after="200" w:line="276" w:lineRule="auto"/>
        <w:jc w:val="both"/>
        <w:rPr>
          <w:rFonts w:asciiTheme="majorHAnsi" w:eastAsia="Calibri" w:hAnsiTheme="majorHAnsi" w:cstheme="majorHAnsi"/>
          <w:color w:val="595959" w:themeColor="text1" w:themeTint="A6"/>
        </w:rPr>
      </w:pPr>
      <w:r w:rsidRPr="001853D9">
        <w:rPr>
          <w:rFonts w:asciiTheme="majorHAnsi" w:eastAsia="Calibri" w:hAnsiTheme="majorHAnsi" w:cstheme="majorHAnsi"/>
          <w:color w:val="595959" w:themeColor="text1" w:themeTint="A6"/>
        </w:rPr>
        <w:br w:type="page"/>
      </w:r>
    </w:p>
    <w:p w14:paraId="02C04889" w14:textId="77777777" w:rsidR="001D34F1" w:rsidRPr="0057376C" w:rsidRDefault="001D34F1" w:rsidP="005A6A28">
      <w:pPr>
        <w:pStyle w:val="Heading1"/>
        <w:spacing w:line="276" w:lineRule="auto"/>
        <w:rPr>
          <w:rFonts w:cstheme="majorHAnsi"/>
          <w:lang w:val="en-US"/>
        </w:rPr>
      </w:pPr>
      <w:bookmarkStart w:id="10" w:name="_Toc82689354"/>
      <w:bookmarkStart w:id="11" w:name="_Toc82713952"/>
      <w:bookmarkStart w:id="12" w:name="_Toc82714686"/>
      <w:bookmarkStart w:id="13" w:name="_Toc98160513"/>
      <w:r w:rsidRPr="001853D9">
        <w:rPr>
          <w:rFonts w:cstheme="majorHAnsi"/>
          <w:lang w:val="en-US"/>
        </w:rPr>
        <w:lastRenderedPageBreak/>
        <w:t>Summary</w:t>
      </w:r>
      <w:bookmarkEnd w:id="10"/>
      <w:bookmarkEnd w:id="11"/>
      <w:bookmarkEnd w:id="12"/>
      <w:bookmarkEnd w:id="13"/>
    </w:p>
    <w:p w14:paraId="25AB59A8" w14:textId="77777777" w:rsidR="001D34F1" w:rsidRPr="0057376C" w:rsidRDefault="001D34F1" w:rsidP="00B12166">
      <w:pPr>
        <w:spacing w:after="0" w:line="276" w:lineRule="auto"/>
        <w:jc w:val="both"/>
        <w:rPr>
          <w:rFonts w:asciiTheme="majorHAnsi" w:eastAsia="Calibri" w:hAnsiTheme="majorHAnsi" w:cstheme="majorHAnsi"/>
          <w:color w:val="595959" w:themeColor="text1" w:themeTint="A6"/>
          <w:lang w:val="en-US"/>
        </w:rPr>
      </w:pPr>
    </w:p>
    <w:p w14:paraId="399B4A1E" w14:textId="77777777" w:rsidR="00D6645B" w:rsidRPr="0032533F" w:rsidRDefault="00787744" w:rsidP="00D6645B">
      <w:pPr>
        <w:spacing w:line="276" w:lineRule="auto"/>
        <w:jc w:val="both"/>
        <w:rPr>
          <w:rFonts w:cstheme="minorHAnsi"/>
          <w:color w:val="595959" w:themeColor="text1" w:themeTint="A6"/>
          <w:lang w:val="en-GB"/>
        </w:rPr>
      </w:pPr>
      <w:r w:rsidRPr="0032533F">
        <w:rPr>
          <w:rFonts w:cstheme="minorHAnsi"/>
          <w:color w:val="595959" w:themeColor="text1" w:themeTint="A6"/>
          <w:lang w:val="en-GB"/>
        </w:rPr>
        <w:t>The Greek economy grew by</w:t>
      </w:r>
      <w:r w:rsidR="00D6645B" w:rsidRPr="0032533F">
        <w:rPr>
          <w:rFonts w:cstheme="minorHAnsi"/>
          <w:color w:val="595959" w:themeColor="text1" w:themeTint="A6"/>
          <w:lang w:val="en-GB"/>
        </w:rPr>
        <w:t xml:space="preserve"> 8.3% </w:t>
      </w:r>
      <w:r w:rsidRPr="0032533F">
        <w:rPr>
          <w:rFonts w:cstheme="minorHAnsi"/>
          <w:color w:val="595959" w:themeColor="text1" w:themeTint="A6"/>
          <w:lang w:val="en-GB"/>
        </w:rPr>
        <w:t xml:space="preserve">in 2021, </w:t>
      </w:r>
      <w:r w:rsidR="00FC11F6" w:rsidRPr="0032533F">
        <w:rPr>
          <w:rFonts w:cstheme="minorHAnsi"/>
          <w:color w:val="595959" w:themeColor="text1" w:themeTint="A6"/>
          <w:lang w:val="en-GB"/>
        </w:rPr>
        <w:t xml:space="preserve">after a recession of </w:t>
      </w:r>
      <w:r w:rsidR="00D6645B" w:rsidRPr="0032533F">
        <w:rPr>
          <w:rFonts w:cstheme="minorHAnsi"/>
          <w:color w:val="595959" w:themeColor="text1" w:themeTint="A6"/>
          <w:lang w:val="en-GB"/>
        </w:rPr>
        <w:t>-9.0% in 2020</w:t>
      </w:r>
      <w:r w:rsidR="00FC11F6" w:rsidRPr="0032533F">
        <w:rPr>
          <w:rFonts w:cstheme="minorHAnsi"/>
          <w:color w:val="595959" w:themeColor="text1" w:themeTint="A6"/>
          <w:lang w:val="en-GB"/>
        </w:rPr>
        <w:t xml:space="preserve">, with the level of </w:t>
      </w:r>
      <w:r w:rsidR="00D6645B" w:rsidRPr="0032533F">
        <w:rPr>
          <w:rFonts w:cstheme="minorHAnsi"/>
          <w:color w:val="595959" w:themeColor="text1" w:themeTint="A6"/>
          <w:lang w:val="en-GB"/>
        </w:rPr>
        <w:t xml:space="preserve">real GDP </w:t>
      </w:r>
      <w:r w:rsidR="00FC11F6" w:rsidRPr="0032533F">
        <w:rPr>
          <w:rFonts w:cstheme="minorHAnsi"/>
          <w:color w:val="595959" w:themeColor="text1" w:themeTint="A6"/>
          <w:lang w:val="en-GB"/>
        </w:rPr>
        <w:t xml:space="preserve">being </w:t>
      </w:r>
      <w:r w:rsidR="00D6645B" w:rsidRPr="0032533F">
        <w:rPr>
          <w:rFonts w:cstheme="minorHAnsi"/>
          <w:color w:val="595959" w:themeColor="text1" w:themeTint="A6"/>
          <w:lang w:val="en-GB"/>
        </w:rPr>
        <w:t xml:space="preserve">marginally lower than </w:t>
      </w:r>
      <w:r w:rsidR="006B0854" w:rsidRPr="0032533F">
        <w:rPr>
          <w:rFonts w:cstheme="minorHAnsi"/>
          <w:color w:val="595959" w:themeColor="text1" w:themeTint="A6"/>
          <w:lang w:val="en-GB"/>
        </w:rPr>
        <w:t>that</w:t>
      </w:r>
      <w:r w:rsidR="00D6645B" w:rsidRPr="0032533F">
        <w:rPr>
          <w:rFonts w:cstheme="minorHAnsi"/>
          <w:color w:val="595959" w:themeColor="text1" w:themeTint="A6"/>
          <w:lang w:val="en-GB"/>
        </w:rPr>
        <w:t xml:space="preserve"> of 2019 (181 billion euros compared to 183.6 billion euros</w:t>
      </w:r>
      <w:r w:rsidR="00593546" w:rsidRPr="0032533F">
        <w:rPr>
          <w:rFonts w:cstheme="minorHAnsi"/>
          <w:color w:val="595959" w:themeColor="text1" w:themeTint="A6"/>
          <w:lang w:val="en-GB"/>
        </w:rPr>
        <w:t>,</w:t>
      </w:r>
      <w:r w:rsidR="00D6645B" w:rsidRPr="0032533F">
        <w:rPr>
          <w:rFonts w:cstheme="minorHAnsi"/>
          <w:color w:val="595959" w:themeColor="text1" w:themeTint="A6"/>
          <w:lang w:val="en-GB"/>
        </w:rPr>
        <w:t xml:space="preserve"> at constant 2015 prices). The unemployment rate in December 2021 (12.8%) is significantly </w:t>
      </w:r>
      <w:r w:rsidR="00333F32" w:rsidRPr="0032533F">
        <w:rPr>
          <w:rFonts w:cstheme="minorHAnsi"/>
          <w:color w:val="595959" w:themeColor="text1" w:themeTint="A6"/>
          <w:lang w:val="en-US"/>
        </w:rPr>
        <w:t xml:space="preserve">lower </w:t>
      </w:r>
      <w:r w:rsidR="00D6645B" w:rsidRPr="0032533F">
        <w:rPr>
          <w:rFonts w:cstheme="minorHAnsi"/>
          <w:color w:val="595959" w:themeColor="text1" w:themeTint="A6"/>
          <w:lang w:val="en-GB"/>
        </w:rPr>
        <w:t xml:space="preserve">compared to the previous year (15.5%) while the current account deficit (10.6 billion euros) remains </w:t>
      </w:r>
      <w:r w:rsidR="0066585F" w:rsidRPr="0032533F">
        <w:rPr>
          <w:rFonts w:cstheme="minorHAnsi"/>
          <w:color w:val="595959" w:themeColor="text1" w:themeTint="A6"/>
          <w:lang w:val="en-GB"/>
        </w:rPr>
        <w:t xml:space="preserve">(when expressed </w:t>
      </w:r>
      <w:r w:rsidR="00D6645B" w:rsidRPr="0032533F">
        <w:rPr>
          <w:rFonts w:cstheme="minorHAnsi"/>
          <w:color w:val="595959" w:themeColor="text1" w:themeTint="A6"/>
          <w:lang w:val="en-GB"/>
        </w:rPr>
        <w:t>in nominal terms</w:t>
      </w:r>
      <w:r w:rsidR="0066585F" w:rsidRPr="0032533F">
        <w:rPr>
          <w:rFonts w:cstheme="minorHAnsi"/>
          <w:color w:val="595959" w:themeColor="text1" w:themeTint="A6"/>
          <w:lang w:val="en-GB"/>
        </w:rPr>
        <w:t>)</w:t>
      </w:r>
      <w:r w:rsidR="00D6645B" w:rsidRPr="0032533F">
        <w:rPr>
          <w:rFonts w:cstheme="minorHAnsi"/>
          <w:color w:val="595959" w:themeColor="text1" w:themeTint="A6"/>
          <w:lang w:val="en-GB"/>
        </w:rPr>
        <w:t xml:space="preserve"> close to the level of 2020 but significantly higher than </w:t>
      </w:r>
      <w:r w:rsidR="0066585F" w:rsidRPr="0032533F">
        <w:rPr>
          <w:rFonts w:cstheme="minorHAnsi"/>
          <w:color w:val="595959" w:themeColor="text1" w:themeTint="A6"/>
          <w:lang w:val="en-GB"/>
        </w:rPr>
        <w:t xml:space="preserve">that in </w:t>
      </w:r>
      <w:r w:rsidR="00D6645B" w:rsidRPr="0032533F">
        <w:rPr>
          <w:rFonts w:cstheme="minorHAnsi"/>
          <w:color w:val="595959" w:themeColor="text1" w:themeTint="A6"/>
          <w:lang w:val="en-GB"/>
        </w:rPr>
        <w:t xml:space="preserve">2019 (2.7 billion euros). Inflation </w:t>
      </w:r>
      <w:r w:rsidR="00B478D8" w:rsidRPr="0032533F">
        <w:rPr>
          <w:rFonts w:cstheme="minorHAnsi"/>
          <w:color w:val="595959" w:themeColor="text1" w:themeTint="A6"/>
          <w:lang w:val="en-GB"/>
        </w:rPr>
        <w:t>measured by the</w:t>
      </w:r>
      <w:r w:rsidR="00D6645B" w:rsidRPr="0032533F">
        <w:rPr>
          <w:rFonts w:cstheme="minorHAnsi"/>
          <w:color w:val="595959" w:themeColor="text1" w:themeTint="A6"/>
          <w:lang w:val="en-GB"/>
        </w:rPr>
        <w:t xml:space="preserve"> Harmonised Index of Consumer Prices (HICP) continues to rise (6.3% in February 2022) du</w:t>
      </w:r>
      <w:r w:rsidR="00333F32" w:rsidRPr="0032533F">
        <w:rPr>
          <w:rFonts w:cstheme="minorHAnsi"/>
          <w:color w:val="595959" w:themeColor="text1" w:themeTint="A6"/>
          <w:lang w:val="en-GB"/>
        </w:rPr>
        <w:t xml:space="preserve">e to large increases in housing-energy </w:t>
      </w:r>
      <w:r w:rsidR="00D6645B" w:rsidRPr="0032533F">
        <w:rPr>
          <w:rFonts w:cstheme="minorHAnsi"/>
          <w:color w:val="595959" w:themeColor="text1" w:themeTint="A6"/>
          <w:lang w:val="en-GB"/>
        </w:rPr>
        <w:t>prices (26.3%), transport (8.8%) and food and non-alcoholic beverages (7.2%).</w:t>
      </w:r>
    </w:p>
    <w:p w14:paraId="15772157" w14:textId="77777777" w:rsidR="00D6645B" w:rsidRPr="0032533F" w:rsidRDefault="006A1D04" w:rsidP="00D6645B">
      <w:pPr>
        <w:spacing w:line="276" w:lineRule="auto"/>
        <w:jc w:val="both"/>
        <w:rPr>
          <w:rFonts w:cstheme="minorHAnsi"/>
          <w:color w:val="595959" w:themeColor="text1" w:themeTint="A6"/>
          <w:lang w:val="en-GB"/>
        </w:rPr>
      </w:pPr>
      <w:r w:rsidRPr="0032533F">
        <w:rPr>
          <w:rFonts w:cstheme="minorHAnsi"/>
          <w:color w:val="595959" w:themeColor="text1" w:themeTint="A6"/>
          <w:lang w:val="en-GB"/>
        </w:rPr>
        <w:t>A</w:t>
      </w:r>
      <w:r w:rsidR="00D6645B" w:rsidRPr="0032533F">
        <w:rPr>
          <w:rFonts w:cstheme="minorHAnsi"/>
          <w:color w:val="595959" w:themeColor="text1" w:themeTint="A6"/>
          <w:lang w:val="en-GB"/>
        </w:rPr>
        <w:t xml:space="preserve">nnual fiscal data for 2022 show a significant improvement compared to 2021 </w:t>
      </w:r>
      <w:r w:rsidR="00B478D8" w:rsidRPr="0032533F">
        <w:rPr>
          <w:rFonts w:cstheme="minorHAnsi"/>
          <w:color w:val="595959" w:themeColor="text1" w:themeTint="A6"/>
          <w:lang w:val="en-GB"/>
        </w:rPr>
        <w:t xml:space="preserve">by an amount </w:t>
      </w:r>
      <w:r w:rsidR="00D6645B" w:rsidRPr="0032533F">
        <w:rPr>
          <w:rFonts w:cstheme="minorHAnsi"/>
          <w:color w:val="595959" w:themeColor="text1" w:themeTint="A6"/>
          <w:lang w:val="en-GB"/>
        </w:rPr>
        <w:t xml:space="preserve">of 2.2 billion euros. Subject to possible </w:t>
      </w:r>
      <w:r w:rsidR="00B478D8" w:rsidRPr="0032533F">
        <w:rPr>
          <w:rFonts w:cstheme="minorHAnsi"/>
          <w:color w:val="595959" w:themeColor="text1" w:themeTint="A6"/>
          <w:lang w:val="en-GB"/>
        </w:rPr>
        <w:t>revisions</w:t>
      </w:r>
      <w:r w:rsidR="00D6645B" w:rsidRPr="0032533F">
        <w:rPr>
          <w:rFonts w:cstheme="minorHAnsi"/>
          <w:color w:val="595959" w:themeColor="text1" w:themeTint="A6"/>
          <w:lang w:val="en-GB"/>
        </w:rPr>
        <w:t xml:space="preserve"> by ELSTAT, we expect a significantly </w:t>
      </w:r>
      <w:r w:rsidR="00333F32" w:rsidRPr="0032533F">
        <w:rPr>
          <w:rFonts w:cstheme="minorHAnsi"/>
          <w:color w:val="595959" w:themeColor="text1" w:themeTint="A6"/>
          <w:lang w:val="en-GB"/>
        </w:rPr>
        <w:t>lower</w:t>
      </w:r>
      <w:r w:rsidR="00D6645B" w:rsidRPr="0032533F">
        <w:rPr>
          <w:rFonts w:cstheme="minorHAnsi"/>
          <w:color w:val="595959" w:themeColor="text1" w:themeTint="A6"/>
          <w:lang w:val="en-GB"/>
        </w:rPr>
        <w:t xml:space="preserve"> primary deficit than the budget estimate (12.8 billion euros or 7.3% of GDP in terms of enhanced supervision) </w:t>
      </w:r>
      <w:r w:rsidR="00333F32" w:rsidRPr="0032533F">
        <w:rPr>
          <w:rFonts w:cstheme="minorHAnsi"/>
          <w:color w:val="595959" w:themeColor="text1" w:themeTint="A6"/>
          <w:lang w:val="en-GB"/>
        </w:rPr>
        <w:t>on top of</w:t>
      </w:r>
      <w:r w:rsidR="00D6645B" w:rsidRPr="0032533F">
        <w:rPr>
          <w:rFonts w:cstheme="minorHAnsi"/>
          <w:color w:val="595959" w:themeColor="text1" w:themeTint="A6"/>
          <w:lang w:val="en-GB"/>
        </w:rPr>
        <w:t xml:space="preserve"> the additional improvement from the higher</w:t>
      </w:r>
      <w:r w:rsidR="00333F32" w:rsidRPr="0032533F">
        <w:rPr>
          <w:rFonts w:cstheme="minorHAnsi"/>
          <w:color w:val="595959" w:themeColor="text1" w:themeTint="A6"/>
          <w:lang w:val="en-GB"/>
        </w:rPr>
        <w:t>-than-expected</w:t>
      </w:r>
      <w:r w:rsidR="00D6645B" w:rsidRPr="0032533F">
        <w:rPr>
          <w:rFonts w:cstheme="minorHAnsi"/>
          <w:color w:val="595959" w:themeColor="text1" w:themeTint="A6"/>
          <w:lang w:val="en-GB"/>
        </w:rPr>
        <w:t xml:space="preserve"> GDP (</w:t>
      </w:r>
      <w:r w:rsidR="00333F32" w:rsidRPr="0032533F">
        <w:rPr>
          <w:rFonts w:cstheme="minorHAnsi"/>
          <w:color w:val="595959" w:themeColor="text1" w:themeTint="A6"/>
          <w:lang w:val="en-GB"/>
        </w:rPr>
        <w:t xml:space="preserve">budget forecast stood at </w:t>
      </w:r>
      <w:r w:rsidR="00D6645B" w:rsidRPr="0032533F">
        <w:rPr>
          <w:rFonts w:cstheme="minorHAnsi"/>
          <w:color w:val="595959" w:themeColor="text1" w:themeTint="A6"/>
          <w:lang w:val="en-GB"/>
        </w:rPr>
        <w:t xml:space="preserve">177.6 billion). </w:t>
      </w:r>
      <w:r w:rsidR="00392D21" w:rsidRPr="0032533F">
        <w:rPr>
          <w:rFonts w:cstheme="minorHAnsi"/>
          <w:color w:val="595959" w:themeColor="text1" w:themeTint="A6"/>
          <w:lang w:val="en-GB"/>
        </w:rPr>
        <w:t xml:space="preserve">Although </w:t>
      </w:r>
      <w:r w:rsidR="00D6645B" w:rsidRPr="0032533F">
        <w:rPr>
          <w:rFonts w:cstheme="minorHAnsi"/>
          <w:color w:val="595959" w:themeColor="text1" w:themeTint="A6"/>
          <w:lang w:val="en-GB"/>
        </w:rPr>
        <w:t xml:space="preserve">Greek government bond yields have been on the rise since November 2021, as in most European countries, </w:t>
      </w:r>
      <w:r w:rsidR="00392D21" w:rsidRPr="0032533F">
        <w:rPr>
          <w:rFonts w:cstheme="minorHAnsi"/>
          <w:color w:val="595959" w:themeColor="text1" w:themeTint="A6"/>
          <w:lang w:val="en-GB"/>
        </w:rPr>
        <w:t xml:space="preserve">they </w:t>
      </w:r>
      <w:r w:rsidR="00333F32" w:rsidRPr="0032533F">
        <w:rPr>
          <w:rFonts w:cstheme="minorHAnsi"/>
          <w:color w:val="595959" w:themeColor="text1" w:themeTint="A6"/>
          <w:lang w:val="en-GB"/>
        </w:rPr>
        <w:t>have been declining</w:t>
      </w:r>
      <w:r w:rsidR="00D6645B" w:rsidRPr="0032533F">
        <w:rPr>
          <w:rFonts w:cstheme="minorHAnsi"/>
          <w:color w:val="595959" w:themeColor="text1" w:themeTint="A6"/>
          <w:lang w:val="en-GB"/>
        </w:rPr>
        <w:t xml:space="preserve"> since February 2022. However, the yield spread</w:t>
      </w:r>
      <w:r w:rsidR="00333F32" w:rsidRPr="0032533F">
        <w:rPr>
          <w:rFonts w:cstheme="minorHAnsi"/>
          <w:color w:val="595959" w:themeColor="text1" w:themeTint="A6"/>
          <w:lang w:val="en-GB"/>
        </w:rPr>
        <w:t>s</w:t>
      </w:r>
      <w:r w:rsidR="00D6645B" w:rsidRPr="0032533F">
        <w:rPr>
          <w:rFonts w:cstheme="minorHAnsi"/>
          <w:color w:val="595959" w:themeColor="text1" w:themeTint="A6"/>
          <w:lang w:val="en-GB"/>
        </w:rPr>
        <w:t xml:space="preserve"> over other European government bonds </w:t>
      </w:r>
      <w:r w:rsidR="00333F32" w:rsidRPr="0032533F">
        <w:rPr>
          <w:rFonts w:cstheme="minorHAnsi"/>
          <w:color w:val="595959" w:themeColor="text1" w:themeTint="A6"/>
          <w:lang w:val="en-GB"/>
        </w:rPr>
        <w:t>are</w:t>
      </w:r>
      <w:r w:rsidR="00D6645B" w:rsidRPr="0032533F">
        <w:rPr>
          <w:rFonts w:cstheme="minorHAnsi"/>
          <w:color w:val="595959" w:themeColor="text1" w:themeTint="A6"/>
          <w:lang w:val="en-GB"/>
        </w:rPr>
        <w:t xml:space="preserve"> widening.</w:t>
      </w:r>
    </w:p>
    <w:p w14:paraId="1646C22D" w14:textId="77777777" w:rsidR="00D6645B" w:rsidRPr="0032533F" w:rsidRDefault="00D6645B" w:rsidP="00D6645B">
      <w:pPr>
        <w:spacing w:line="276" w:lineRule="auto"/>
        <w:jc w:val="both"/>
        <w:rPr>
          <w:rFonts w:cstheme="minorHAnsi"/>
          <w:color w:val="595959" w:themeColor="text1" w:themeTint="A6"/>
          <w:lang w:val="en-GB"/>
        </w:rPr>
      </w:pPr>
      <w:r w:rsidRPr="0032533F">
        <w:rPr>
          <w:rFonts w:cstheme="minorHAnsi"/>
          <w:color w:val="595959" w:themeColor="text1" w:themeTint="A6"/>
          <w:lang w:val="en-GB"/>
        </w:rPr>
        <w:t>Since the middle of last year, the global economy has entered a phase of intense inflationary pressures and h</w:t>
      </w:r>
      <w:r w:rsidR="00B478D8" w:rsidRPr="0032533F">
        <w:rPr>
          <w:rFonts w:cstheme="minorHAnsi"/>
          <w:color w:val="595959" w:themeColor="text1" w:themeTint="A6"/>
          <w:lang w:val="en-GB"/>
        </w:rPr>
        <w:t>e</w:t>
      </w:r>
      <w:r w:rsidRPr="0032533F">
        <w:rPr>
          <w:rFonts w:cstheme="minorHAnsi"/>
          <w:color w:val="595959" w:themeColor="text1" w:themeTint="A6"/>
          <w:lang w:val="en-GB"/>
        </w:rPr>
        <w:t>igh</w:t>
      </w:r>
      <w:r w:rsidR="00B478D8" w:rsidRPr="0032533F">
        <w:rPr>
          <w:rFonts w:cstheme="minorHAnsi"/>
          <w:color w:val="595959" w:themeColor="text1" w:themeTint="A6"/>
          <w:lang w:val="en-GB"/>
        </w:rPr>
        <w:t>tened</w:t>
      </w:r>
      <w:r w:rsidRPr="0032533F">
        <w:rPr>
          <w:rFonts w:cstheme="minorHAnsi"/>
          <w:color w:val="595959" w:themeColor="text1" w:themeTint="A6"/>
          <w:lang w:val="en-GB"/>
        </w:rPr>
        <w:t xml:space="preserve"> uncertainty. </w:t>
      </w:r>
      <w:r w:rsidR="00B478D8" w:rsidRPr="0032533F">
        <w:rPr>
          <w:rFonts w:cstheme="minorHAnsi"/>
          <w:color w:val="595959" w:themeColor="text1" w:themeTint="A6"/>
          <w:lang w:val="en-GB"/>
        </w:rPr>
        <w:t>These conditions have been compounded</w:t>
      </w:r>
      <w:r w:rsidRPr="0032533F">
        <w:rPr>
          <w:rFonts w:cstheme="minorHAnsi"/>
          <w:color w:val="595959" w:themeColor="text1" w:themeTint="A6"/>
          <w:lang w:val="en-GB"/>
        </w:rPr>
        <w:t xml:space="preserve"> </w:t>
      </w:r>
      <w:r w:rsidR="00D42ADE">
        <w:rPr>
          <w:rFonts w:cstheme="minorHAnsi"/>
          <w:color w:val="595959" w:themeColor="text1" w:themeTint="A6"/>
          <w:lang w:val="en-GB"/>
        </w:rPr>
        <w:t xml:space="preserve">by </w:t>
      </w:r>
      <w:r w:rsidRPr="0032533F">
        <w:rPr>
          <w:rFonts w:cstheme="minorHAnsi"/>
          <w:color w:val="595959" w:themeColor="text1" w:themeTint="A6"/>
          <w:lang w:val="en-GB"/>
        </w:rPr>
        <w:t xml:space="preserve">the Russian invasion of Ukraine, which has </w:t>
      </w:r>
      <w:r w:rsidR="00B478D8" w:rsidRPr="0032533F">
        <w:rPr>
          <w:rFonts w:cstheme="minorHAnsi"/>
          <w:color w:val="595959" w:themeColor="text1" w:themeTint="A6"/>
          <w:lang w:val="en-GB"/>
        </w:rPr>
        <w:t xml:space="preserve">had </w:t>
      </w:r>
      <w:r w:rsidRPr="0032533F">
        <w:rPr>
          <w:rFonts w:cstheme="minorHAnsi"/>
          <w:color w:val="595959" w:themeColor="text1" w:themeTint="A6"/>
          <w:lang w:val="en-GB"/>
        </w:rPr>
        <w:t xml:space="preserve">dramatic consequences, such as human </w:t>
      </w:r>
      <w:r w:rsidR="004A6F7C" w:rsidRPr="0032533F">
        <w:rPr>
          <w:rFonts w:cstheme="minorHAnsi"/>
          <w:color w:val="595959" w:themeColor="text1" w:themeTint="A6"/>
          <w:lang w:val="en-GB"/>
        </w:rPr>
        <w:t xml:space="preserve">casualties </w:t>
      </w:r>
      <w:r w:rsidRPr="0032533F">
        <w:rPr>
          <w:rFonts w:cstheme="minorHAnsi"/>
          <w:color w:val="595959" w:themeColor="text1" w:themeTint="A6"/>
          <w:lang w:val="en-GB"/>
        </w:rPr>
        <w:t>and damage to Ukraine</w:t>
      </w:r>
      <w:r w:rsidR="00B478D8" w:rsidRPr="0032533F">
        <w:rPr>
          <w:rFonts w:cstheme="minorHAnsi"/>
          <w:color w:val="595959" w:themeColor="text1" w:themeTint="A6"/>
          <w:lang w:val="en-GB"/>
        </w:rPr>
        <w:t>'s infrastructure and productive</w:t>
      </w:r>
      <w:r w:rsidRPr="0032533F">
        <w:rPr>
          <w:rFonts w:cstheme="minorHAnsi"/>
          <w:color w:val="595959" w:themeColor="text1" w:themeTint="A6"/>
          <w:lang w:val="en-GB"/>
        </w:rPr>
        <w:t xml:space="preserve"> capacity. Inevitably, the war in Ukraine has led to upheavals in established geopolitical balances as well as serious global economic </w:t>
      </w:r>
      <w:r w:rsidRPr="0032533F">
        <w:rPr>
          <w:rFonts w:cstheme="minorHAnsi"/>
          <w:color w:val="595959" w:themeColor="text1" w:themeTint="A6"/>
          <w:lang w:val="en-US"/>
        </w:rPr>
        <w:t>disruptions</w:t>
      </w:r>
      <w:r w:rsidR="00B478D8" w:rsidRPr="0032533F">
        <w:rPr>
          <w:rFonts w:cstheme="minorHAnsi"/>
          <w:color w:val="595959" w:themeColor="text1" w:themeTint="A6"/>
          <w:lang w:val="en-US"/>
        </w:rPr>
        <w:t xml:space="preserve"> worldwide</w:t>
      </w:r>
      <w:r w:rsidRPr="0032533F">
        <w:rPr>
          <w:rFonts w:cstheme="minorHAnsi"/>
          <w:color w:val="595959" w:themeColor="text1" w:themeTint="A6"/>
          <w:lang w:val="en-GB"/>
        </w:rPr>
        <w:t>. In particular, rising en</w:t>
      </w:r>
      <w:r w:rsidR="00B478D8" w:rsidRPr="0032533F">
        <w:rPr>
          <w:rFonts w:cstheme="minorHAnsi"/>
          <w:color w:val="595959" w:themeColor="text1" w:themeTint="A6"/>
          <w:lang w:val="en-GB"/>
        </w:rPr>
        <w:t>ergy, food and other commodity</w:t>
      </w:r>
      <w:r w:rsidRPr="0032533F">
        <w:rPr>
          <w:rFonts w:cstheme="minorHAnsi"/>
          <w:color w:val="595959" w:themeColor="text1" w:themeTint="A6"/>
          <w:lang w:val="en-GB"/>
        </w:rPr>
        <w:t xml:space="preserve"> </w:t>
      </w:r>
      <w:r w:rsidR="00B478D8" w:rsidRPr="0032533F">
        <w:rPr>
          <w:rFonts w:cstheme="minorHAnsi"/>
          <w:color w:val="595959" w:themeColor="text1" w:themeTint="A6"/>
          <w:lang w:val="en-GB"/>
        </w:rPr>
        <w:t xml:space="preserve">prices </w:t>
      </w:r>
      <w:r w:rsidRPr="0032533F">
        <w:rPr>
          <w:rFonts w:cstheme="minorHAnsi"/>
          <w:color w:val="595959" w:themeColor="text1" w:themeTint="A6"/>
          <w:lang w:val="en-GB"/>
        </w:rPr>
        <w:t xml:space="preserve">will </w:t>
      </w:r>
      <w:r w:rsidR="00B478D8" w:rsidRPr="0032533F">
        <w:rPr>
          <w:rFonts w:cstheme="minorHAnsi"/>
          <w:color w:val="595959" w:themeColor="text1" w:themeTint="A6"/>
          <w:lang w:val="en-GB"/>
        </w:rPr>
        <w:t>increase</w:t>
      </w:r>
      <w:r w:rsidRPr="0032533F">
        <w:rPr>
          <w:rFonts w:cstheme="minorHAnsi"/>
          <w:color w:val="595959" w:themeColor="text1" w:themeTint="A6"/>
          <w:lang w:val="en-GB"/>
        </w:rPr>
        <w:t xml:space="preserve"> inflationary pressures and </w:t>
      </w:r>
      <w:r w:rsidR="00333F32" w:rsidRPr="0032533F">
        <w:rPr>
          <w:rFonts w:cstheme="minorHAnsi"/>
          <w:color w:val="595959" w:themeColor="text1" w:themeTint="A6"/>
          <w:lang w:val="en-GB"/>
        </w:rPr>
        <w:t>hamper</w:t>
      </w:r>
      <w:r w:rsidRPr="0032533F">
        <w:rPr>
          <w:rFonts w:cstheme="minorHAnsi"/>
          <w:color w:val="595959" w:themeColor="text1" w:themeTint="A6"/>
          <w:lang w:val="en-GB"/>
        </w:rPr>
        <w:t xml:space="preserve"> growth</w:t>
      </w:r>
      <w:r w:rsidR="00B478D8" w:rsidRPr="0032533F">
        <w:rPr>
          <w:rFonts w:cstheme="minorHAnsi"/>
          <w:color w:val="595959" w:themeColor="text1" w:themeTint="A6"/>
          <w:lang w:val="en-GB"/>
        </w:rPr>
        <w:t xml:space="preserve"> rates</w:t>
      </w:r>
      <w:r w:rsidRPr="0032533F">
        <w:rPr>
          <w:rFonts w:cstheme="minorHAnsi"/>
          <w:color w:val="595959" w:themeColor="text1" w:themeTint="A6"/>
          <w:lang w:val="en-GB"/>
        </w:rPr>
        <w:t xml:space="preserve">. The problems will be more acute in Europe, where the massive influx of refugees, the revision of defence strategies and the </w:t>
      </w:r>
      <w:r w:rsidR="00B478D8" w:rsidRPr="0032533F">
        <w:rPr>
          <w:rFonts w:cstheme="minorHAnsi"/>
          <w:color w:val="595959" w:themeColor="text1" w:themeTint="A6"/>
          <w:lang w:val="en-GB"/>
        </w:rPr>
        <w:t>efforts</w:t>
      </w:r>
      <w:r w:rsidRPr="0032533F">
        <w:rPr>
          <w:rFonts w:cstheme="minorHAnsi"/>
          <w:color w:val="595959" w:themeColor="text1" w:themeTint="A6"/>
          <w:lang w:val="en-GB"/>
        </w:rPr>
        <w:t xml:space="preserve"> to reduce dependence on Russian natural gas will put an additional burden on state budgets.</w:t>
      </w:r>
    </w:p>
    <w:p w14:paraId="3393FB56" w14:textId="77777777" w:rsidR="00D6645B" w:rsidRPr="0032533F" w:rsidRDefault="00D6645B" w:rsidP="00D6645B">
      <w:pPr>
        <w:spacing w:line="276" w:lineRule="auto"/>
        <w:jc w:val="both"/>
        <w:rPr>
          <w:rFonts w:cstheme="minorHAnsi"/>
          <w:color w:val="595959" w:themeColor="text1" w:themeTint="A6"/>
          <w:lang w:val="en-GB"/>
        </w:rPr>
      </w:pPr>
      <w:r w:rsidRPr="0032533F">
        <w:rPr>
          <w:rFonts w:cstheme="minorHAnsi"/>
          <w:color w:val="595959" w:themeColor="text1" w:themeTint="A6"/>
          <w:lang w:val="en-GB"/>
        </w:rPr>
        <w:t xml:space="preserve">These extraordinary </w:t>
      </w:r>
      <w:r w:rsidR="00B478D8" w:rsidRPr="0032533F">
        <w:rPr>
          <w:rFonts w:cstheme="minorHAnsi"/>
          <w:color w:val="595959" w:themeColor="text1" w:themeTint="A6"/>
          <w:lang w:val="en-GB"/>
        </w:rPr>
        <w:t>circumstances pose</w:t>
      </w:r>
      <w:r w:rsidRPr="0032533F">
        <w:rPr>
          <w:rFonts w:cstheme="minorHAnsi"/>
          <w:color w:val="595959" w:themeColor="text1" w:themeTint="A6"/>
          <w:lang w:val="en-GB"/>
        </w:rPr>
        <w:t xml:space="preserve"> significant challenges for </w:t>
      </w:r>
      <w:r w:rsidR="00333F32" w:rsidRPr="0032533F">
        <w:rPr>
          <w:rFonts w:cstheme="minorHAnsi"/>
          <w:color w:val="595959" w:themeColor="text1" w:themeTint="A6"/>
          <w:lang w:val="en-GB"/>
        </w:rPr>
        <w:t>Greece</w:t>
      </w:r>
      <w:r w:rsidRPr="0032533F">
        <w:rPr>
          <w:rFonts w:cstheme="minorHAnsi"/>
          <w:color w:val="595959" w:themeColor="text1" w:themeTint="A6"/>
          <w:lang w:val="en-GB"/>
        </w:rPr>
        <w:t>. The Parliamentary Budget Office forecasts for 2022 were 3.58% before the start of the Russian invasion of Ukraine and are now lowered to 2.7</w:t>
      </w:r>
      <w:r w:rsidR="00107718" w:rsidRPr="0032533F">
        <w:rPr>
          <w:rFonts w:cstheme="minorHAnsi"/>
          <w:color w:val="595959" w:themeColor="text1" w:themeTint="A6"/>
          <w:lang w:val="en-GB"/>
        </w:rPr>
        <w:t>5% in the mild scenario and 2.</w:t>
      </w:r>
      <w:r w:rsidR="00107718" w:rsidRPr="0032533F">
        <w:rPr>
          <w:rFonts w:cstheme="minorHAnsi"/>
          <w:color w:val="595959" w:themeColor="text1" w:themeTint="A6"/>
          <w:lang w:val="en-US"/>
        </w:rPr>
        <w:t>21</w:t>
      </w:r>
      <w:r w:rsidRPr="0032533F">
        <w:rPr>
          <w:rFonts w:cstheme="minorHAnsi"/>
          <w:color w:val="595959" w:themeColor="text1" w:themeTint="A6"/>
          <w:lang w:val="en-GB"/>
        </w:rPr>
        <w:t xml:space="preserve">% in the </w:t>
      </w:r>
      <w:r w:rsidR="00333F32" w:rsidRPr="0032533F">
        <w:rPr>
          <w:rFonts w:cstheme="minorHAnsi"/>
          <w:color w:val="595959" w:themeColor="text1" w:themeTint="A6"/>
          <w:lang w:val="en-GB"/>
        </w:rPr>
        <w:t>adverse</w:t>
      </w:r>
      <w:r w:rsidRPr="0032533F">
        <w:rPr>
          <w:rFonts w:cstheme="minorHAnsi"/>
          <w:color w:val="595959" w:themeColor="text1" w:themeTint="A6"/>
          <w:lang w:val="en-GB"/>
        </w:rPr>
        <w:t xml:space="preserve"> scenario</w:t>
      </w:r>
      <w:r w:rsidR="004A6F7C" w:rsidRPr="0032533F">
        <w:rPr>
          <w:rFonts w:cstheme="minorHAnsi"/>
          <w:color w:val="595959" w:themeColor="text1" w:themeTint="A6"/>
          <w:lang w:val="en-GB"/>
        </w:rPr>
        <w:t>,</w:t>
      </w:r>
      <w:r w:rsidRPr="0032533F">
        <w:rPr>
          <w:rFonts w:cstheme="minorHAnsi"/>
          <w:color w:val="595959" w:themeColor="text1" w:themeTint="A6"/>
          <w:lang w:val="en-GB"/>
        </w:rPr>
        <w:t xml:space="preserve"> depending on the </w:t>
      </w:r>
      <w:r w:rsidR="004A6F7C" w:rsidRPr="0032533F">
        <w:rPr>
          <w:rFonts w:cstheme="minorHAnsi"/>
          <w:color w:val="595959" w:themeColor="text1" w:themeTint="A6"/>
          <w:lang w:val="en-GB"/>
        </w:rPr>
        <w:t xml:space="preserve">response </w:t>
      </w:r>
      <w:r w:rsidR="00333F32" w:rsidRPr="0032533F">
        <w:rPr>
          <w:rFonts w:cstheme="minorHAnsi"/>
          <w:color w:val="595959" w:themeColor="text1" w:themeTint="A6"/>
          <w:lang w:val="en-GB"/>
        </w:rPr>
        <w:t>of</w:t>
      </w:r>
      <w:r w:rsidRPr="0032533F">
        <w:rPr>
          <w:rFonts w:cstheme="minorHAnsi"/>
          <w:color w:val="595959" w:themeColor="text1" w:themeTint="A6"/>
          <w:lang w:val="en-GB"/>
        </w:rPr>
        <w:t xml:space="preserve"> international energy and food prices</w:t>
      </w:r>
      <w:r w:rsidR="0076367A" w:rsidRPr="0032533F">
        <w:rPr>
          <w:rFonts w:cstheme="minorHAnsi"/>
          <w:color w:val="595959" w:themeColor="text1" w:themeTint="A6"/>
          <w:lang w:val="en-GB"/>
        </w:rPr>
        <w:t xml:space="preserve">, on the level of business confidence deterioration, </w:t>
      </w:r>
      <w:r w:rsidRPr="0032533F">
        <w:rPr>
          <w:rFonts w:cstheme="minorHAnsi"/>
          <w:color w:val="595959" w:themeColor="text1" w:themeTint="A6"/>
          <w:lang w:val="en-GB"/>
        </w:rPr>
        <w:t xml:space="preserve">and the turmoil in financial markets. </w:t>
      </w:r>
      <w:r w:rsidR="0076367A" w:rsidRPr="0032533F">
        <w:rPr>
          <w:rFonts w:cstheme="minorHAnsi"/>
          <w:color w:val="595959" w:themeColor="text1" w:themeTint="A6"/>
          <w:lang w:val="en-GB"/>
        </w:rPr>
        <w:t>Importantly</w:t>
      </w:r>
      <w:r w:rsidRPr="0032533F">
        <w:rPr>
          <w:rFonts w:cstheme="minorHAnsi"/>
          <w:color w:val="595959" w:themeColor="text1" w:themeTint="A6"/>
          <w:lang w:val="en-GB"/>
        </w:rPr>
        <w:t xml:space="preserve">, the final impact will depend on the duration </w:t>
      </w:r>
      <w:r w:rsidR="008112D6" w:rsidRPr="0032533F">
        <w:rPr>
          <w:rFonts w:cstheme="minorHAnsi"/>
          <w:color w:val="595959" w:themeColor="text1" w:themeTint="A6"/>
          <w:lang w:val="en-GB"/>
        </w:rPr>
        <w:t xml:space="preserve">and outcome </w:t>
      </w:r>
      <w:r w:rsidRPr="0032533F">
        <w:rPr>
          <w:rFonts w:cstheme="minorHAnsi"/>
          <w:color w:val="595959" w:themeColor="text1" w:themeTint="A6"/>
          <w:lang w:val="en-GB"/>
        </w:rPr>
        <w:t>of the war</w:t>
      </w:r>
      <w:r w:rsidR="00735FB9" w:rsidRPr="0032533F">
        <w:rPr>
          <w:rFonts w:cstheme="minorHAnsi"/>
          <w:color w:val="595959" w:themeColor="text1" w:themeTint="A6"/>
          <w:lang w:val="en-GB"/>
        </w:rPr>
        <w:t xml:space="preserve"> </w:t>
      </w:r>
      <w:r w:rsidRPr="0032533F">
        <w:rPr>
          <w:rFonts w:cstheme="minorHAnsi"/>
          <w:color w:val="595959" w:themeColor="text1" w:themeTint="A6"/>
          <w:lang w:val="en-GB"/>
        </w:rPr>
        <w:t>and the reaction of monetary and fiscal policy at European level.</w:t>
      </w:r>
    </w:p>
    <w:p w14:paraId="4F1DD48E" w14:textId="77777777" w:rsidR="00D6645B" w:rsidRPr="0032533F" w:rsidRDefault="00D6645B" w:rsidP="00D6645B">
      <w:pPr>
        <w:spacing w:line="276" w:lineRule="auto"/>
        <w:jc w:val="both"/>
        <w:rPr>
          <w:rFonts w:cstheme="minorHAnsi"/>
          <w:color w:val="595959" w:themeColor="text1" w:themeTint="A6"/>
          <w:lang w:val="en-GB"/>
        </w:rPr>
      </w:pPr>
      <w:r w:rsidRPr="0032533F">
        <w:rPr>
          <w:rFonts w:cstheme="minorHAnsi"/>
          <w:color w:val="595959" w:themeColor="text1" w:themeTint="A6"/>
          <w:lang w:val="en-GB"/>
        </w:rPr>
        <w:t xml:space="preserve">The effects of the war are expected to lead to strong fiscal pressures both on the revenue side (due to the economic slowdown) and on the expenditure side (pressure to cover energy costs). However, it should be noted that, even if it is decided at European level to extend the general escape clause of the Stability and Growth Pact to 2023 or a possible exemption of defence spending from European fiscal rules, </w:t>
      </w:r>
      <w:r w:rsidR="008A3360" w:rsidRPr="0032533F">
        <w:rPr>
          <w:rFonts w:cstheme="minorHAnsi"/>
          <w:color w:val="595959" w:themeColor="text1" w:themeTint="A6"/>
          <w:lang w:val="en-GB"/>
        </w:rPr>
        <w:t>Greece</w:t>
      </w:r>
      <w:r w:rsidRPr="0032533F">
        <w:rPr>
          <w:rFonts w:cstheme="minorHAnsi"/>
          <w:color w:val="595959" w:themeColor="text1" w:themeTint="A6"/>
          <w:lang w:val="en-GB"/>
        </w:rPr>
        <w:t xml:space="preserve">'s fiscal </w:t>
      </w:r>
      <w:r w:rsidR="008A3360" w:rsidRPr="0032533F">
        <w:rPr>
          <w:rFonts w:cstheme="minorHAnsi"/>
          <w:color w:val="595959" w:themeColor="text1" w:themeTint="A6"/>
          <w:lang w:val="en-GB"/>
        </w:rPr>
        <w:t xml:space="preserve">space </w:t>
      </w:r>
      <w:r w:rsidRPr="0032533F">
        <w:rPr>
          <w:rFonts w:cstheme="minorHAnsi"/>
          <w:color w:val="595959" w:themeColor="text1" w:themeTint="A6"/>
          <w:lang w:val="en-GB"/>
        </w:rPr>
        <w:t>is lim</w:t>
      </w:r>
      <w:r w:rsidR="00B478D8" w:rsidRPr="0032533F">
        <w:rPr>
          <w:rFonts w:cstheme="minorHAnsi"/>
          <w:color w:val="595959" w:themeColor="text1" w:themeTint="A6"/>
          <w:lang w:val="en-GB"/>
        </w:rPr>
        <w:t xml:space="preserve">ited. Unprecedented </w:t>
      </w:r>
      <w:r w:rsidR="00B478D8" w:rsidRPr="0032533F">
        <w:rPr>
          <w:rFonts w:cstheme="minorHAnsi"/>
          <w:color w:val="595959" w:themeColor="text1" w:themeTint="A6"/>
          <w:lang w:val="en-GB"/>
        </w:rPr>
        <w:lastRenderedPageBreak/>
        <w:t>expansionary</w:t>
      </w:r>
      <w:r w:rsidRPr="0032533F">
        <w:rPr>
          <w:rFonts w:cstheme="minorHAnsi"/>
          <w:color w:val="595959" w:themeColor="text1" w:themeTint="A6"/>
          <w:lang w:val="en-GB"/>
        </w:rPr>
        <w:t xml:space="preserve"> policies </w:t>
      </w:r>
      <w:r w:rsidR="00B478D8" w:rsidRPr="0032533F">
        <w:rPr>
          <w:rFonts w:cstheme="minorHAnsi"/>
          <w:color w:val="595959" w:themeColor="text1" w:themeTint="A6"/>
          <w:lang w:val="en-GB"/>
        </w:rPr>
        <w:t>pursued in response to</w:t>
      </w:r>
      <w:r w:rsidRPr="0032533F">
        <w:rPr>
          <w:rFonts w:cstheme="minorHAnsi"/>
          <w:color w:val="595959" w:themeColor="text1" w:themeTint="A6"/>
          <w:lang w:val="en-GB"/>
        </w:rPr>
        <w:t xml:space="preserve"> the pandemic have caused a cumulative fiscal deterioration of 30 billion euros. The combination of reduced tax revenues and increased spending, although necessary in emergencies, is not sustainable in the medium term. The </w:t>
      </w:r>
      <w:r w:rsidR="00B478D8" w:rsidRPr="0032533F">
        <w:rPr>
          <w:rFonts w:cstheme="minorHAnsi"/>
          <w:color w:val="595959" w:themeColor="text1" w:themeTint="A6"/>
          <w:lang w:val="en-GB"/>
        </w:rPr>
        <w:t>size</w:t>
      </w:r>
      <w:r w:rsidRPr="0032533F">
        <w:rPr>
          <w:rFonts w:cstheme="minorHAnsi"/>
          <w:color w:val="595959" w:themeColor="text1" w:themeTint="A6"/>
          <w:lang w:val="en-GB"/>
        </w:rPr>
        <w:t xml:space="preserve"> of general government deficit and public debt combined with the absence of investment grade </w:t>
      </w:r>
      <w:r w:rsidR="00333F32" w:rsidRPr="0032533F">
        <w:rPr>
          <w:rFonts w:cstheme="minorHAnsi"/>
          <w:color w:val="595959" w:themeColor="text1" w:themeTint="A6"/>
          <w:lang w:val="en-GB"/>
        </w:rPr>
        <w:t xml:space="preserve">ranking </w:t>
      </w:r>
      <w:r w:rsidRPr="0032533F">
        <w:rPr>
          <w:rFonts w:cstheme="minorHAnsi"/>
          <w:color w:val="595959" w:themeColor="text1" w:themeTint="A6"/>
          <w:lang w:val="en-GB"/>
        </w:rPr>
        <w:t>make Greek government bonds particularly vulnerable to po</w:t>
      </w:r>
      <w:r w:rsidR="00B478D8" w:rsidRPr="0032533F">
        <w:rPr>
          <w:rFonts w:cstheme="minorHAnsi"/>
          <w:color w:val="595959" w:themeColor="text1" w:themeTint="A6"/>
          <w:lang w:val="en-GB"/>
        </w:rPr>
        <w:t>tential</w:t>
      </w:r>
      <w:r w:rsidRPr="0032533F">
        <w:rPr>
          <w:rFonts w:cstheme="minorHAnsi"/>
          <w:color w:val="595959" w:themeColor="text1" w:themeTint="A6"/>
          <w:lang w:val="en-GB"/>
        </w:rPr>
        <w:t xml:space="preserve"> disruptions in financial markets, despite the support of the ECB.</w:t>
      </w:r>
    </w:p>
    <w:p w14:paraId="46701BE9" w14:textId="77777777" w:rsidR="00D6645B" w:rsidRPr="0032533F" w:rsidRDefault="00D6645B" w:rsidP="00D6645B">
      <w:pPr>
        <w:spacing w:line="276" w:lineRule="auto"/>
        <w:jc w:val="both"/>
        <w:rPr>
          <w:rFonts w:cstheme="minorHAnsi"/>
          <w:color w:val="595959" w:themeColor="text1" w:themeTint="A6"/>
          <w:lang w:val="en-GB"/>
        </w:rPr>
      </w:pPr>
      <w:r w:rsidRPr="0032533F">
        <w:rPr>
          <w:rFonts w:cstheme="minorHAnsi"/>
          <w:color w:val="595959" w:themeColor="text1" w:themeTint="A6"/>
          <w:lang w:val="en-GB"/>
        </w:rPr>
        <w:t xml:space="preserve">Based on the above, we </w:t>
      </w:r>
      <w:r w:rsidR="003E1C33" w:rsidRPr="0032533F">
        <w:rPr>
          <w:rFonts w:cstheme="minorHAnsi"/>
          <w:color w:val="595959" w:themeColor="text1" w:themeTint="A6"/>
          <w:lang w:val="en-GB"/>
        </w:rPr>
        <w:t xml:space="preserve">believe </w:t>
      </w:r>
      <w:r w:rsidRPr="0032533F">
        <w:rPr>
          <w:rFonts w:cstheme="minorHAnsi"/>
          <w:color w:val="595959" w:themeColor="text1" w:themeTint="A6"/>
          <w:lang w:val="en-GB"/>
        </w:rPr>
        <w:t xml:space="preserve">that restoring fiscal balance is a major priority.  </w:t>
      </w:r>
      <w:r w:rsidR="00B478D8" w:rsidRPr="0032533F">
        <w:rPr>
          <w:rFonts w:cstheme="minorHAnsi"/>
          <w:color w:val="595959" w:themeColor="text1" w:themeTint="A6"/>
          <w:lang w:val="en-GB"/>
        </w:rPr>
        <w:t>Therefore, as far as fiscal policy is concerned, e</w:t>
      </w:r>
      <w:r w:rsidRPr="0032533F">
        <w:rPr>
          <w:rFonts w:cstheme="minorHAnsi"/>
          <w:color w:val="595959" w:themeColor="text1" w:themeTint="A6"/>
          <w:lang w:val="en-GB"/>
        </w:rPr>
        <w:t xml:space="preserve">xpansionary interventions should be temporary and </w:t>
      </w:r>
      <w:r w:rsidR="00B478D8" w:rsidRPr="0032533F">
        <w:rPr>
          <w:rFonts w:cstheme="minorHAnsi"/>
          <w:color w:val="595959" w:themeColor="text1" w:themeTint="A6"/>
          <w:lang w:val="en-GB"/>
        </w:rPr>
        <w:t>limited exclusively</w:t>
      </w:r>
      <w:r w:rsidR="00961F25" w:rsidRPr="0032533F">
        <w:rPr>
          <w:rFonts w:cstheme="minorHAnsi"/>
          <w:color w:val="595959" w:themeColor="text1" w:themeTint="A6"/>
          <w:lang w:val="en-GB"/>
        </w:rPr>
        <w:t xml:space="preserve"> at </w:t>
      </w:r>
      <w:r w:rsidR="00B478D8" w:rsidRPr="0032533F">
        <w:rPr>
          <w:rFonts w:cstheme="minorHAnsi"/>
          <w:color w:val="595959" w:themeColor="text1" w:themeTint="A6"/>
          <w:lang w:val="en-GB"/>
        </w:rPr>
        <w:t>absorbing the rising</w:t>
      </w:r>
      <w:r w:rsidR="00961F25" w:rsidRPr="0032533F">
        <w:rPr>
          <w:rFonts w:cstheme="minorHAnsi"/>
          <w:color w:val="595959" w:themeColor="text1" w:themeTint="A6"/>
          <w:lang w:val="en-GB"/>
        </w:rPr>
        <w:t xml:space="preserve"> </w:t>
      </w:r>
      <w:r w:rsidR="004B3ADB" w:rsidRPr="0032533F">
        <w:rPr>
          <w:rFonts w:cstheme="minorHAnsi"/>
          <w:color w:val="595959" w:themeColor="text1" w:themeTint="A6"/>
          <w:lang w:val="en-GB"/>
        </w:rPr>
        <w:t xml:space="preserve">energy cost </w:t>
      </w:r>
      <w:r w:rsidR="005C6DAE" w:rsidRPr="0032533F">
        <w:rPr>
          <w:rFonts w:cstheme="minorHAnsi"/>
          <w:color w:val="595959" w:themeColor="text1" w:themeTint="A6"/>
          <w:lang w:val="en-GB"/>
        </w:rPr>
        <w:t xml:space="preserve">by targeting </w:t>
      </w:r>
      <w:r w:rsidRPr="0032533F">
        <w:rPr>
          <w:rFonts w:cstheme="minorHAnsi"/>
          <w:color w:val="595959" w:themeColor="text1" w:themeTint="A6"/>
          <w:lang w:val="en-GB"/>
        </w:rPr>
        <w:t xml:space="preserve">vulnerable groups. </w:t>
      </w:r>
      <w:r w:rsidR="00961F25" w:rsidRPr="0032533F">
        <w:rPr>
          <w:rFonts w:cstheme="minorHAnsi"/>
          <w:color w:val="595959" w:themeColor="text1" w:themeTint="A6"/>
          <w:lang w:val="en-GB"/>
        </w:rPr>
        <w:t>H</w:t>
      </w:r>
      <w:r w:rsidRPr="0032533F">
        <w:rPr>
          <w:rFonts w:cstheme="minorHAnsi"/>
          <w:color w:val="595959" w:themeColor="text1" w:themeTint="A6"/>
          <w:lang w:val="en-GB"/>
        </w:rPr>
        <w:t xml:space="preserve">orizontal interventions as well as permanent measures unrelated to energy costs should be avoided. We understand that the strong political polarization that prevails does not encourage fiscal responsibility. </w:t>
      </w:r>
      <w:r w:rsidR="00961F25" w:rsidRPr="0032533F">
        <w:rPr>
          <w:rFonts w:cstheme="minorHAnsi"/>
          <w:color w:val="595959" w:themeColor="text1" w:themeTint="A6"/>
          <w:lang w:val="en-GB"/>
        </w:rPr>
        <w:t xml:space="preserve">However, </w:t>
      </w:r>
      <w:r w:rsidRPr="0032533F">
        <w:rPr>
          <w:rFonts w:cstheme="minorHAnsi"/>
          <w:color w:val="595959" w:themeColor="text1" w:themeTint="A6"/>
          <w:lang w:val="en-GB"/>
        </w:rPr>
        <w:t>the tradition of</w:t>
      </w:r>
      <w:r w:rsidRPr="0032533F">
        <w:rPr>
          <w:rFonts w:cstheme="minorHAnsi"/>
          <w:color w:val="595959" w:themeColor="text1" w:themeTint="A6"/>
          <w:lang w:val="en-US"/>
        </w:rPr>
        <w:t xml:space="preserve"> fiscal </w:t>
      </w:r>
      <w:r w:rsidR="00735FB9" w:rsidRPr="0032533F">
        <w:rPr>
          <w:rFonts w:cstheme="minorHAnsi"/>
          <w:color w:val="595959" w:themeColor="text1" w:themeTint="A6"/>
          <w:lang w:val="en-GB"/>
        </w:rPr>
        <w:t>bidding</w:t>
      </w:r>
      <w:r w:rsidR="00140A0A" w:rsidRPr="0032533F">
        <w:rPr>
          <w:rFonts w:cstheme="minorHAnsi"/>
          <w:color w:val="595959" w:themeColor="text1" w:themeTint="A6"/>
          <w:lang w:val="en-GB"/>
        </w:rPr>
        <w:t xml:space="preserve"> </w:t>
      </w:r>
      <w:r w:rsidRPr="0032533F">
        <w:rPr>
          <w:rFonts w:cstheme="minorHAnsi"/>
          <w:color w:val="595959" w:themeColor="text1" w:themeTint="A6"/>
          <w:lang w:val="en-GB"/>
        </w:rPr>
        <w:t>does not make the need to prepare for challenges of unknown duration and outcome</w:t>
      </w:r>
      <w:r w:rsidR="005C6DAE" w:rsidRPr="0032533F">
        <w:rPr>
          <w:rFonts w:cstheme="minorHAnsi"/>
          <w:color w:val="595959" w:themeColor="text1" w:themeTint="A6"/>
          <w:lang w:val="en-GB"/>
        </w:rPr>
        <w:t xml:space="preserve"> any less urgent</w:t>
      </w:r>
      <w:r w:rsidRPr="0032533F">
        <w:rPr>
          <w:rFonts w:cstheme="minorHAnsi"/>
          <w:color w:val="595959" w:themeColor="text1" w:themeTint="A6"/>
          <w:lang w:val="en-GB"/>
        </w:rPr>
        <w:t>. T</w:t>
      </w:r>
      <w:r w:rsidR="00140A0A" w:rsidRPr="0032533F">
        <w:rPr>
          <w:rFonts w:cstheme="minorHAnsi"/>
          <w:color w:val="595959" w:themeColor="text1" w:themeTint="A6"/>
          <w:lang w:val="en-GB"/>
        </w:rPr>
        <w:t xml:space="preserve">o ensure </w:t>
      </w:r>
      <w:r w:rsidRPr="0032533F">
        <w:rPr>
          <w:rFonts w:cstheme="minorHAnsi"/>
          <w:color w:val="595959" w:themeColor="text1" w:themeTint="A6"/>
          <w:lang w:val="en-GB"/>
        </w:rPr>
        <w:t>fiscal security</w:t>
      </w:r>
      <w:r w:rsidR="00140A0A" w:rsidRPr="0032533F">
        <w:rPr>
          <w:rFonts w:cstheme="minorHAnsi"/>
          <w:color w:val="595959" w:themeColor="text1" w:themeTint="A6"/>
          <w:lang w:val="en-GB"/>
        </w:rPr>
        <w:t xml:space="preserve">, </w:t>
      </w:r>
      <w:r w:rsidRPr="0032533F">
        <w:rPr>
          <w:rFonts w:cstheme="minorHAnsi"/>
          <w:color w:val="595959" w:themeColor="text1" w:themeTint="A6"/>
          <w:lang w:val="en-GB"/>
        </w:rPr>
        <w:t xml:space="preserve">a minimum political consensus </w:t>
      </w:r>
      <w:r w:rsidR="00140A0A" w:rsidRPr="0032533F">
        <w:rPr>
          <w:rFonts w:cstheme="minorHAnsi"/>
          <w:color w:val="595959" w:themeColor="text1" w:themeTint="A6"/>
          <w:lang w:val="en-GB"/>
        </w:rPr>
        <w:t xml:space="preserve">is </w:t>
      </w:r>
      <w:r w:rsidR="005C6DAE" w:rsidRPr="0032533F">
        <w:rPr>
          <w:rFonts w:cstheme="minorHAnsi"/>
          <w:color w:val="595959" w:themeColor="text1" w:themeTint="A6"/>
          <w:lang w:val="en-GB"/>
        </w:rPr>
        <w:t>needed that would</w:t>
      </w:r>
      <w:r w:rsidRPr="0032533F">
        <w:rPr>
          <w:rFonts w:cstheme="minorHAnsi"/>
          <w:color w:val="595959" w:themeColor="text1" w:themeTint="A6"/>
          <w:lang w:val="en-GB"/>
        </w:rPr>
        <w:t xml:space="preserve"> strengthen the </w:t>
      </w:r>
      <w:r w:rsidR="00333F32" w:rsidRPr="0032533F">
        <w:rPr>
          <w:rFonts w:cstheme="minorHAnsi"/>
          <w:color w:val="595959" w:themeColor="text1" w:themeTint="A6"/>
          <w:lang w:val="en-GB"/>
        </w:rPr>
        <w:t>sentiment</w:t>
      </w:r>
      <w:r w:rsidRPr="0032533F">
        <w:rPr>
          <w:rFonts w:cstheme="minorHAnsi"/>
          <w:color w:val="595959" w:themeColor="text1" w:themeTint="A6"/>
          <w:lang w:val="en-GB"/>
        </w:rPr>
        <w:t xml:space="preserve"> of economic confidence, improve the sense of security of citizens, and consequently make more manageable any negative effects </w:t>
      </w:r>
      <w:r w:rsidR="004B3ADB" w:rsidRPr="0032533F">
        <w:rPr>
          <w:rFonts w:cstheme="minorHAnsi"/>
          <w:color w:val="595959" w:themeColor="text1" w:themeTint="A6"/>
          <w:lang w:val="en-GB"/>
        </w:rPr>
        <w:t xml:space="preserve">of the war </w:t>
      </w:r>
      <w:r w:rsidRPr="0032533F">
        <w:rPr>
          <w:rFonts w:cstheme="minorHAnsi"/>
          <w:color w:val="595959" w:themeColor="text1" w:themeTint="A6"/>
          <w:lang w:val="en-GB"/>
        </w:rPr>
        <w:t xml:space="preserve">on the Greek economy. Otherwise, if </w:t>
      </w:r>
      <w:r w:rsidR="005C6DAE" w:rsidRPr="0032533F">
        <w:rPr>
          <w:rFonts w:cstheme="minorHAnsi"/>
          <w:color w:val="595959" w:themeColor="text1" w:themeTint="A6"/>
          <w:lang w:val="en-GB"/>
        </w:rPr>
        <w:t xml:space="preserve">Greece is driven into </w:t>
      </w:r>
      <w:r w:rsidRPr="0032533F">
        <w:rPr>
          <w:rFonts w:cstheme="minorHAnsi"/>
          <w:color w:val="595959" w:themeColor="text1" w:themeTint="A6"/>
          <w:lang w:val="en-GB"/>
        </w:rPr>
        <w:t xml:space="preserve">a new increase in public debt, </w:t>
      </w:r>
      <w:r w:rsidR="005C6DAE" w:rsidRPr="0032533F">
        <w:rPr>
          <w:rFonts w:cstheme="minorHAnsi"/>
          <w:color w:val="595959" w:themeColor="text1" w:themeTint="A6"/>
          <w:lang w:val="en-GB"/>
        </w:rPr>
        <w:t xml:space="preserve">it </w:t>
      </w:r>
      <w:r w:rsidRPr="0032533F">
        <w:rPr>
          <w:rFonts w:cstheme="minorHAnsi"/>
          <w:color w:val="595959" w:themeColor="text1" w:themeTint="A6"/>
          <w:lang w:val="en-GB"/>
        </w:rPr>
        <w:t>risks facing unpleasant fiscal situations.</w:t>
      </w:r>
    </w:p>
    <w:p w14:paraId="55EB88B1" w14:textId="77777777" w:rsidR="009656F8" w:rsidRPr="00D6645B" w:rsidRDefault="009656F8" w:rsidP="005A6A28">
      <w:pPr>
        <w:spacing w:after="200" w:line="276" w:lineRule="auto"/>
        <w:jc w:val="both"/>
        <w:rPr>
          <w:rFonts w:asciiTheme="majorHAnsi" w:eastAsia="Calibri" w:hAnsiTheme="majorHAnsi" w:cstheme="majorHAnsi"/>
          <w:color w:val="595959" w:themeColor="text1" w:themeTint="A6"/>
          <w:lang w:val="en-GB"/>
        </w:rPr>
      </w:pPr>
    </w:p>
    <w:p w14:paraId="47E7E057" w14:textId="77777777" w:rsidR="009656F8" w:rsidRPr="00D6645B" w:rsidRDefault="009656F8" w:rsidP="005A6A28">
      <w:pPr>
        <w:spacing w:after="200" w:line="276" w:lineRule="auto"/>
        <w:jc w:val="both"/>
        <w:rPr>
          <w:rFonts w:asciiTheme="majorHAnsi" w:eastAsia="Calibri" w:hAnsiTheme="majorHAnsi" w:cstheme="majorHAnsi"/>
          <w:color w:val="595959" w:themeColor="text1" w:themeTint="A6"/>
          <w:lang w:val="en-US"/>
        </w:rPr>
      </w:pPr>
    </w:p>
    <w:p w14:paraId="259654FB" w14:textId="77777777" w:rsidR="009656F8" w:rsidRPr="00D6645B" w:rsidRDefault="009656F8" w:rsidP="005A6A28">
      <w:pPr>
        <w:spacing w:after="200" w:line="276" w:lineRule="auto"/>
        <w:jc w:val="both"/>
        <w:rPr>
          <w:rFonts w:asciiTheme="majorHAnsi" w:eastAsia="Calibri" w:hAnsiTheme="majorHAnsi" w:cstheme="majorHAnsi"/>
          <w:color w:val="595959" w:themeColor="text1" w:themeTint="A6"/>
          <w:lang w:val="en-US"/>
        </w:rPr>
      </w:pPr>
    </w:p>
    <w:p w14:paraId="1346DFD4" w14:textId="77777777" w:rsidR="0098081B" w:rsidRPr="00D6645B" w:rsidRDefault="00667F9F" w:rsidP="005A6A28">
      <w:pPr>
        <w:spacing w:line="276" w:lineRule="auto"/>
        <w:rPr>
          <w:rFonts w:asciiTheme="majorHAnsi" w:eastAsiaTheme="majorEastAsia" w:hAnsiTheme="majorHAnsi" w:cstheme="majorHAnsi"/>
          <w:b/>
          <w:bCs/>
          <w:color w:val="2F5496" w:themeColor="accent1" w:themeShade="BF"/>
          <w:sz w:val="28"/>
          <w:szCs w:val="28"/>
          <w:lang w:val="en-US"/>
        </w:rPr>
      </w:pPr>
      <w:r w:rsidRPr="00D6645B">
        <w:rPr>
          <w:rFonts w:asciiTheme="majorHAnsi" w:hAnsiTheme="majorHAnsi" w:cstheme="majorHAnsi"/>
          <w:color w:val="595959" w:themeColor="text1" w:themeTint="A6"/>
          <w:lang w:val="en-US"/>
        </w:rPr>
        <w:br/>
      </w:r>
    </w:p>
    <w:p w14:paraId="210575CD" w14:textId="77777777" w:rsidR="00667F9F" w:rsidRPr="00D6645B" w:rsidRDefault="00667F9F" w:rsidP="005A6A28">
      <w:pPr>
        <w:spacing w:after="240" w:line="276" w:lineRule="auto"/>
        <w:jc w:val="both"/>
        <w:rPr>
          <w:rFonts w:asciiTheme="majorHAnsi" w:eastAsia="Calibri" w:hAnsiTheme="majorHAnsi" w:cstheme="majorHAnsi"/>
          <w:color w:val="595959" w:themeColor="text1" w:themeTint="A6"/>
          <w:lang w:val="en-US"/>
        </w:rPr>
      </w:pPr>
    </w:p>
    <w:p w14:paraId="6984EC46" w14:textId="77777777" w:rsidR="00C23E2E" w:rsidRPr="00D6645B" w:rsidRDefault="00C23E2E" w:rsidP="005A6A28">
      <w:pPr>
        <w:spacing w:after="240" w:line="276" w:lineRule="auto"/>
        <w:jc w:val="both"/>
        <w:rPr>
          <w:rFonts w:asciiTheme="majorHAnsi" w:eastAsia="Calibri" w:hAnsiTheme="majorHAnsi" w:cstheme="majorHAnsi"/>
          <w:color w:val="595959" w:themeColor="text1" w:themeTint="A6"/>
          <w:lang w:val="en-US"/>
        </w:rPr>
      </w:pPr>
    </w:p>
    <w:p w14:paraId="2B69191D" w14:textId="77777777" w:rsidR="009656F8" w:rsidRPr="00D6645B" w:rsidRDefault="009656F8" w:rsidP="005A6A28">
      <w:pPr>
        <w:spacing w:after="240" w:line="276" w:lineRule="auto"/>
        <w:jc w:val="both"/>
        <w:rPr>
          <w:rFonts w:asciiTheme="majorHAnsi" w:eastAsia="Calibri" w:hAnsiTheme="majorHAnsi" w:cstheme="majorHAnsi"/>
          <w:color w:val="595959" w:themeColor="text1" w:themeTint="A6"/>
          <w:lang w:val="en-US"/>
        </w:rPr>
      </w:pPr>
    </w:p>
    <w:p w14:paraId="79F545A6" w14:textId="77777777" w:rsidR="00C25D71" w:rsidRPr="00D6645B" w:rsidRDefault="00C25D71" w:rsidP="005A6A28">
      <w:pPr>
        <w:spacing w:line="276" w:lineRule="auto"/>
        <w:jc w:val="both"/>
        <w:rPr>
          <w:rFonts w:asciiTheme="majorHAnsi" w:hAnsiTheme="majorHAnsi" w:cstheme="majorHAnsi"/>
          <w:b/>
          <w:bCs/>
          <w:color w:val="595959" w:themeColor="text1" w:themeTint="A6"/>
          <w:lang w:val="en-US"/>
        </w:rPr>
      </w:pPr>
    </w:p>
    <w:p w14:paraId="517DE285" w14:textId="77777777" w:rsidR="00204B60" w:rsidRPr="00D6645B" w:rsidRDefault="00204B60" w:rsidP="005A6A28">
      <w:pPr>
        <w:spacing w:line="276" w:lineRule="auto"/>
        <w:jc w:val="both"/>
        <w:rPr>
          <w:rFonts w:asciiTheme="majorHAnsi" w:eastAsia="Calibri" w:hAnsiTheme="majorHAnsi" w:cstheme="majorHAnsi"/>
          <w:color w:val="595959" w:themeColor="text1" w:themeTint="A6"/>
          <w:lang w:val="en-US"/>
        </w:rPr>
      </w:pPr>
    </w:p>
    <w:p w14:paraId="6567F3D6" w14:textId="77777777" w:rsidR="001B43DE" w:rsidRPr="00D6645B" w:rsidRDefault="001B43DE" w:rsidP="005A6A28">
      <w:pPr>
        <w:spacing w:after="200" w:line="276" w:lineRule="auto"/>
        <w:jc w:val="both"/>
        <w:rPr>
          <w:rFonts w:asciiTheme="majorHAnsi" w:eastAsia="Calibri" w:hAnsiTheme="majorHAnsi" w:cstheme="majorHAnsi"/>
          <w:color w:val="595959" w:themeColor="text1" w:themeTint="A6"/>
          <w:lang w:val="en-US"/>
        </w:rPr>
      </w:pPr>
    </w:p>
    <w:p w14:paraId="60024BAE" w14:textId="77777777" w:rsidR="001239F3" w:rsidRPr="00D6645B" w:rsidRDefault="001239F3" w:rsidP="005A6A28">
      <w:pPr>
        <w:spacing w:line="276" w:lineRule="auto"/>
        <w:jc w:val="both"/>
        <w:rPr>
          <w:rFonts w:asciiTheme="majorHAnsi" w:hAnsiTheme="majorHAnsi" w:cstheme="majorHAnsi"/>
          <w:color w:val="595959" w:themeColor="text1" w:themeTint="A6"/>
          <w:lang w:val="en-US"/>
        </w:rPr>
      </w:pPr>
    </w:p>
    <w:p w14:paraId="531E447A" w14:textId="77777777" w:rsidR="001C4A28" w:rsidRPr="00D6645B" w:rsidRDefault="006C0722" w:rsidP="005A6A28">
      <w:pPr>
        <w:spacing w:line="276" w:lineRule="auto"/>
        <w:rPr>
          <w:rFonts w:asciiTheme="majorHAnsi" w:eastAsia="Calibri" w:hAnsiTheme="majorHAnsi" w:cstheme="majorHAnsi"/>
          <w:color w:val="595959"/>
          <w:lang w:val="en-US"/>
        </w:rPr>
      </w:pPr>
      <w:bookmarkStart w:id="14" w:name="_Hlk55732902"/>
      <w:bookmarkStart w:id="15" w:name="_Toc50131938"/>
      <w:bookmarkStart w:id="16" w:name="_Toc16003935"/>
      <w:bookmarkStart w:id="17" w:name="_Toc40705979"/>
      <w:r w:rsidRPr="00D6645B">
        <w:rPr>
          <w:rFonts w:asciiTheme="majorHAnsi" w:eastAsia="Calibri" w:hAnsiTheme="majorHAnsi" w:cstheme="majorHAnsi"/>
          <w:color w:val="595959"/>
          <w:lang w:val="en-US"/>
        </w:rPr>
        <w:br w:type="page"/>
      </w:r>
      <w:bookmarkStart w:id="18" w:name="_Toc521341309"/>
      <w:bookmarkEnd w:id="1"/>
      <w:bookmarkEnd w:id="0"/>
      <w:bookmarkEnd w:id="14"/>
      <w:bookmarkEnd w:id="15"/>
      <w:bookmarkEnd w:id="16"/>
      <w:bookmarkEnd w:id="17"/>
    </w:p>
    <w:p w14:paraId="4B35D63C" w14:textId="77777777" w:rsidR="00456311" w:rsidRPr="001853D9" w:rsidRDefault="00456311" w:rsidP="005A6A28">
      <w:pPr>
        <w:pStyle w:val="Heading1"/>
        <w:spacing w:line="276" w:lineRule="auto"/>
        <w:jc w:val="center"/>
        <w:rPr>
          <w:rFonts w:eastAsia="Times New Roman" w:cstheme="majorHAnsi"/>
        </w:rPr>
      </w:pPr>
      <w:bookmarkStart w:id="19" w:name="_Toc67307413"/>
      <w:bookmarkStart w:id="20" w:name="_Toc82689355"/>
      <w:bookmarkStart w:id="21" w:name="_Toc82713953"/>
      <w:bookmarkStart w:id="22" w:name="_Toc82714687"/>
      <w:bookmarkStart w:id="23" w:name="_Toc98160514"/>
      <w:r w:rsidRPr="001853D9">
        <w:rPr>
          <w:rFonts w:eastAsia="Times New Roman" w:cstheme="majorHAnsi"/>
        </w:rPr>
        <w:lastRenderedPageBreak/>
        <w:t>1. Μακροοικονομικές εξελίξεις</w:t>
      </w:r>
      <w:bookmarkEnd w:id="19"/>
      <w:bookmarkEnd w:id="20"/>
      <w:bookmarkEnd w:id="21"/>
      <w:bookmarkEnd w:id="22"/>
      <w:bookmarkEnd w:id="23"/>
    </w:p>
    <w:p w14:paraId="6B68946F" w14:textId="77777777" w:rsidR="00456311" w:rsidRPr="001853D9" w:rsidRDefault="00E96471" w:rsidP="00E96471">
      <w:pPr>
        <w:tabs>
          <w:tab w:val="left" w:pos="3600"/>
        </w:tabs>
        <w:spacing w:after="0" w:line="276" w:lineRule="auto"/>
        <w:rPr>
          <w:rFonts w:asciiTheme="majorHAnsi" w:eastAsia="Calibri" w:hAnsiTheme="majorHAnsi" w:cstheme="majorHAnsi"/>
          <w:b/>
          <w:color w:val="595959"/>
        </w:rPr>
      </w:pPr>
      <w:r>
        <w:rPr>
          <w:rFonts w:asciiTheme="majorHAnsi" w:eastAsia="Calibri" w:hAnsiTheme="majorHAnsi" w:cstheme="majorHAnsi"/>
          <w:b/>
          <w:color w:val="595959"/>
        </w:rPr>
        <w:tab/>
      </w:r>
    </w:p>
    <w:p w14:paraId="261361F5" w14:textId="77777777" w:rsidR="0061109F" w:rsidRPr="00E72169" w:rsidRDefault="0061109F" w:rsidP="0061109F">
      <w:pPr>
        <w:pStyle w:val="Heading2"/>
        <w:spacing w:before="0" w:line="276" w:lineRule="auto"/>
        <w:jc w:val="both"/>
        <w:rPr>
          <w:rFonts w:ascii="Calibri" w:eastAsia="Calibri" w:hAnsi="Calibri"/>
        </w:rPr>
      </w:pPr>
      <w:bookmarkStart w:id="24" w:name="_Toc50131939"/>
      <w:bookmarkStart w:id="25" w:name="_Toc56073712"/>
      <w:bookmarkStart w:id="26" w:name="_Toc67307414"/>
      <w:bookmarkStart w:id="27" w:name="_Toc74670996"/>
      <w:bookmarkStart w:id="28" w:name="_Toc82238872"/>
      <w:bookmarkStart w:id="29" w:name="_Toc98160515"/>
      <w:r w:rsidRPr="00E72169">
        <w:rPr>
          <w:rFonts w:eastAsia="Times New Roman"/>
        </w:rPr>
        <w:t>1.1. Διεθνές και ευρωπαϊκό περιβάλλον</w:t>
      </w:r>
      <w:bookmarkEnd w:id="24"/>
      <w:bookmarkEnd w:id="25"/>
      <w:bookmarkEnd w:id="26"/>
      <w:bookmarkEnd w:id="27"/>
      <w:bookmarkEnd w:id="28"/>
      <w:bookmarkEnd w:id="29"/>
    </w:p>
    <w:p w14:paraId="50A1C2C1" w14:textId="77777777" w:rsidR="0061109F" w:rsidRPr="00E72169" w:rsidRDefault="0061109F" w:rsidP="0061109F">
      <w:pPr>
        <w:spacing w:after="0" w:line="276" w:lineRule="auto"/>
        <w:rPr>
          <w:rFonts w:ascii="Calibri" w:eastAsia="Calibri" w:hAnsi="Calibri" w:cs="Times New Roman"/>
        </w:rPr>
      </w:pPr>
    </w:p>
    <w:p w14:paraId="68B93C47" w14:textId="77777777" w:rsidR="00646BE3" w:rsidRDefault="00646BE3" w:rsidP="00646BE3">
      <w:pPr>
        <w:jc w:val="both"/>
        <w:rPr>
          <w:color w:val="595959"/>
        </w:rPr>
      </w:pPr>
      <w:r w:rsidRPr="0033384E">
        <w:rPr>
          <w:color w:val="595959"/>
        </w:rPr>
        <w:t xml:space="preserve">Η παγκόσμια οικονομία εισέρχεται </w:t>
      </w:r>
      <w:r w:rsidR="00D95934">
        <w:rPr>
          <w:color w:val="595959"/>
        </w:rPr>
        <w:t>σ</w:t>
      </w:r>
      <w:r w:rsidRPr="0033384E">
        <w:rPr>
          <w:color w:val="595959"/>
        </w:rPr>
        <w:t xml:space="preserve">το 2022 </w:t>
      </w:r>
      <w:r w:rsidR="00D95934">
        <w:rPr>
          <w:color w:val="595959"/>
        </w:rPr>
        <w:t xml:space="preserve">όντας </w:t>
      </w:r>
      <w:r w:rsidRPr="0033384E">
        <w:rPr>
          <w:color w:val="595959"/>
        </w:rPr>
        <w:t>σε ασθενέστερη θέση από ό,τι αναμενόταν, καθώς</w:t>
      </w:r>
      <w:r>
        <w:rPr>
          <w:color w:val="595959"/>
        </w:rPr>
        <w:t xml:space="preserve"> οξύνονται οι γεωπολιτικές εντάσεις (πόλεμος Ρωσίας – Ουκρανίας) και</w:t>
      </w:r>
      <w:r w:rsidRPr="0033384E">
        <w:rPr>
          <w:color w:val="595959"/>
        </w:rPr>
        <w:t xml:space="preserve"> η παραλλαγή </w:t>
      </w:r>
      <w:r w:rsidR="00254F93">
        <w:rPr>
          <w:color w:val="595959"/>
        </w:rPr>
        <w:t>Ό</w:t>
      </w:r>
      <w:r w:rsidRPr="0033384E">
        <w:rPr>
          <w:color w:val="595959"/>
        </w:rPr>
        <w:t>μικρον του</w:t>
      </w:r>
      <w:r w:rsidR="00D95934">
        <w:rPr>
          <w:color w:val="595959"/>
        </w:rPr>
        <w:t xml:space="preserve"> κορωνοϊού</w:t>
      </w:r>
      <w:r w:rsidRPr="0033384E">
        <w:rPr>
          <w:color w:val="595959"/>
        </w:rPr>
        <w:t xml:space="preserve"> εξαπλώνεται</w:t>
      </w:r>
      <w:r>
        <w:rPr>
          <w:color w:val="595959"/>
        </w:rPr>
        <w:t xml:space="preserve"> με αρκετές</w:t>
      </w:r>
      <w:r w:rsidRPr="0033384E">
        <w:rPr>
          <w:color w:val="595959"/>
        </w:rPr>
        <w:t xml:space="preserve"> χώρες</w:t>
      </w:r>
      <w:r>
        <w:rPr>
          <w:color w:val="595959"/>
        </w:rPr>
        <w:t xml:space="preserve"> να</w:t>
      </w:r>
      <w:r w:rsidRPr="0033384E">
        <w:rPr>
          <w:color w:val="595959"/>
        </w:rPr>
        <w:t xml:space="preserve"> επιβάλ</w:t>
      </w:r>
      <w:r>
        <w:rPr>
          <w:color w:val="595959"/>
        </w:rPr>
        <w:t>ουν</w:t>
      </w:r>
      <w:r w:rsidRPr="0033384E">
        <w:rPr>
          <w:color w:val="595959"/>
        </w:rPr>
        <w:t xml:space="preserve"> εκ νέου </w:t>
      </w:r>
      <w:r w:rsidR="003F4366">
        <w:rPr>
          <w:color w:val="595959"/>
        </w:rPr>
        <w:t>περιοριστικά μέτρα</w:t>
      </w:r>
      <w:r w:rsidRPr="0033384E">
        <w:rPr>
          <w:color w:val="595959"/>
        </w:rPr>
        <w:t xml:space="preserve">. Οι αυξανόμενες τιμές της ενέργειας και οι διαταραχές </w:t>
      </w:r>
      <w:r>
        <w:rPr>
          <w:color w:val="595959"/>
        </w:rPr>
        <w:t>της</w:t>
      </w:r>
      <w:r w:rsidRPr="0033384E">
        <w:rPr>
          <w:color w:val="595959"/>
        </w:rPr>
        <w:t xml:space="preserve"> εφοδιασ</w:t>
      </w:r>
      <w:r>
        <w:rPr>
          <w:color w:val="595959"/>
        </w:rPr>
        <w:t>τικής αλυσίδας</w:t>
      </w:r>
      <w:r w:rsidRPr="0033384E">
        <w:rPr>
          <w:color w:val="595959"/>
        </w:rPr>
        <w:t xml:space="preserve"> έχουν οδηγήσει σε υψηλότερο πληθωρισμό από ό,τι αναμενόταν, ιδίως στις Ηνωμένες Πολιτείες</w:t>
      </w:r>
      <w:r w:rsidR="00D95934">
        <w:rPr>
          <w:color w:val="595959"/>
        </w:rPr>
        <w:t xml:space="preserve">, στην </w:t>
      </w:r>
      <w:r w:rsidR="00F66710">
        <w:rPr>
          <w:color w:val="595959"/>
        </w:rPr>
        <w:t>Ε</w:t>
      </w:r>
      <w:r w:rsidR="00D95934">
        <w:rPr>
          <w:color w:val="595959"/>
        </w:rPr>
        <w:t xml:space="preserve">υρωζώνη </w:t>
      </w:r>
      <w:r w:rsidRPr="0033384E">
        <w:rPr>
          <w:color w:val="595959"/>
        </w:rPr>
        <w:t xml:space="preserve">και σε πολλές αναδυόμενες αγορές και αναπτυσσόμενες οικονομίες. </w:t>
      </w:r>
      <w:r>
        <w:rPr>
          <w:color w:val="595959"/>
        </w:rPr>
        <w:t>Ο</w:t>
      </w:r>
      <w:r w:rsidR="008E4C42">
        <w:rPr>
          <w:color w:val="595959"/>
        </w:rPr>
        <w:t>ι</w:t>
      </w:r>
      <w:r>
        <w:rPr>
          <w:color w:val="595959"/>
        </w:rPr>
        <w:t xml:space="preserve"> επιπτώσεις </w:t>
      </w:r>
      <w:r w:rsidRPr="00781CF8">
        <w:rPr>
          <w:color w:val="595959"/>
        </w:rPr>
        <w:t xml:space="preserve">της </w:t>
      </w:r>
      <w:r w:rsidR="00D95934">
        <w:rPr>
          <w:color w:val="595959"/>
        </w:rPr>
        <w:t>Ρωσικής</w:t>
      </w:r>
      <w:r w:rsidR="003F4366">
        <w:rPr>
          <w:color w:val="595959"/>
        </w:rPr>
        <w:t xml:space="preserve"> εισβολής στην Ουκρανία</w:t>
      </w:r>
      <w:r w:rsidRPr="00781CF8">
        <w:rPr>
          <w:color w:val="595959"/>
        </w:rPr>
        <w:t xml:space="preserve"> </w:t>
      </w:r>
      <w:r>
        <w:rPr>
          <w:color w:val="595959"/>
        </w:rPr>
        <w:t xml:space="preserve">γίνονται αντιληπτές </w:t>
      </w:r>
      <w:r w:rsidRPr="00781CF8">
        <w:rPr>
          <w:color w:val="595959"/>
        </w:rPr>
        <w:t xml:space="preserve">στην παγκόσμια οικονομία  μέσω της αύξησης των τιμών της ενέργειας και της </w:t>
      </w:r>
      <w:r w:rsidR="003F4366">
        <w:rPr>
          <w:color w:val="595959"/>
        </w:rPr>
        <w:t>αυξημένης αβεβαιότητας</w:t>
      </w:r>
      <w:r w:rsidRPr="00781CF8">
        <w:rPr>
          <w:color w:val="595959"/>
        </w:rPr>
        <w:t xml:space="preserve">, η οποία ενισχύεται από τις αυστηρές διεθνείς κυρώσεις κατά της Ρωσίας. </w:t>
      </w:r>
      <w:r w:rsidR="003F4366">
        <w:rPr>
          <w:color w:val="595959"/>
        </w:rPr>
        <w:t>Ο</w:t>
      </w:r>
      <w:r w:rsidRPr="00781CF8">
        <w:rPr>
          <w:color w:val="595959"/>
        </w:rPr>
        <w:t xml:space="preserve">ι οικονομίες της Ουκρανίας και της Ρωσίας παρότι μικρές σε σχέση με την παγκόσμια οικονομία, </w:t>
      </w:r>
      <w:r w:rsidR="003F4366" w:rsidRPr="00781CF8">
        <w:rPr>
          <w:color w:val="595959"/>
        </w:rPr>
        <w:t>έχουν ιδιαίτερη βαρύτητα</w:t>
      </w:r>
      <w:r w:rsidR="003F4366">
        <w:rPr>
          <w:color w:val="595959"/>
        </w:rPr>
        <w:t xml:space="preserve"> </w:t>
      </w:r>
      <w:r w:rsidRPr="00781CF8">
        <w:rPr>
          <w:color w:val="595959"/>
        </w:rPr>
        <w:t>σε συγκεκριμένους βασικούς τομείς, ιδί</w:t>
      </w:r>
      <w:r w:rsidR="003F4366">
        <w:rPr>
          <w:color w:val="595959"/>
        </w:rPr>
        <w:t>ως στην ενέργεια και τα τρόφιμα</w:t>
      </w:r>
      <w:r w:rsidRPr="00781CF8">
        <w:rPr>
          <w:color w:val="595959"/>
        </w:rPr>
        <w:t xml:space="preserve">. Ο αντίκτυπος του πολέμου στις τιμές των βασικών εμπορευμάτων και, ως εκ τούτου, στις δαπάνες των νοικοκυριών είναι πολύ σημαντικός. </w:t>
      </w:r>
    </w:p>
    <w:p w14:paraId="254A6BA7" w14:textId="77777777" w:rsidR="000227AC" w:rsidRPr="00F664EE" w:rsidRDefault="007714A7" w:rsidP="003F4366">
      <w:pPr>
        <w:jc w:val="both"/>
        <w:rPr>
          <w:rFonts w:eastAsia="Calibri" w:cstheme="minorHAnsi"/>
          <w:color w:val="595959"/>
        </w:rPr>
      </w:pPr>
      <w:r w:rsidRPr="007714A7">
        <w:rPr>
          <w:rFonts w:cstheme="minorHAnsi"/>
          <w:color w:val="595959"/>
        </w:rPr>
        <w:t xml:space="preserve">Η </w:t>
      </w:r>
      <w:hyperlink r:id="rId15" w:history="1">
        <w:r w:rsidRPr="007714A7">
          <w:rPr>
            <w:rFonts w:cstheme="minorHAnsi"/>
            <w:color w:val="595959"/>
            <w:u w:val="single"/>
          </w:rPr>
          <w:t>Ευρωπαϊκή Κεντρική Τράπεζα</w:t>
        </w:r>
      </w:hyperlink>
      <w:r w:rsidRPr="007714A7">
        <w:rPr>
          <w:rFonts w:cstheme="minorHAnsi"/>
          <w:color w:val="595959"/>
        </w:rPr>
        <w:t xml:space="preserve"> αναθεώρησε </w:t>
      </w:r>
      <w:r w:rsidR="00CD396D" w:rsidRPr="007714A7">
        <w:rPr>
          <w:rFonts w:cstheme="minorHAnsi"/>
          <w:color w:val="595959"/>
        </w:rPr>
        <w:t xml:space="preserve">(Μάρτιος 2022) </w:t>
      </w:r>
      <w:r w:rsidR="00CD396D" w:rsidRPr="00A40AB4">
        <w:rPr>
          <w:rFonts w:cstheme="minorHAnsi"/>
          <w:color w:val="595959"/>
        </w:rPr>
        <w:t xml:space="preserve"> </w:t>
      </w:r>
      <w:r w:rsidRPr="007714A7">
        <w:rPr>
          <w:rFonts w:cstheme="minorHAnsi"/>
          <w:color w:val="595959"/>
        </w:rPr>
        <w:t xml:space="preserve">προς τα κάτω </w:t>
      </w:r>
      <w:r w:rsidR="003F4366">
        <w:rPr>
          <w:rFonts w:cstheme="minorHAnsi"/>
          <w:color w:val="595959"/>
        </w:rPr>
        <w:t>το βασικό σενάριο</w:t>
      </w:r>
      <w:r w:rsidRPr="007714A7">
        <w:rPr>
          <w:rFonts w:cstheme="minorHAnsi"/>
          <w:color w:val="595959"/>
        </w:rPr>
        <w:t xml:space="preserve"> για τ</w:t>
      </w:r>
      <w:r w:rsidR="003F4366">
        <w:rPr>
          <w:rFonts w:cstheme="minorHAnsi"/>
          <w:color w:val="595959"/>
        </w:rPr>
        <w:t>ο</w:t>
      </w:r>
      <w:r w:rsidR="00196A61">
        <w:rPr>
          <w:rFonts w:cstheme="minorHAnsi"/>
          <w:color w:val="595959"/>
        </w:rPr>
        <w:t>ν</w:t>
      </w:r>
      <w:r w:rsidR="003F4366">
        <w:rPr>
          <w:rFonts w:cstheme="minorHAnsi"/>
          <w:color w:val="595959"/>
        </w:rPr>
        <w:t xml:space="preserve"> ρυθμό μεγέθυνσης της Ε</w:t>
      </w:r>
      <w:r w:rsidRPr="007714A7">
        <w:rPr>
          <w:rFonts w:cstheme="minorHAnsi"/>
          <w:color w:val="595959"/>
        </w:rPr>
        <w:t xml:space="preserve">υρωζώνης το 2022 στο 3,7% </w:t>
      </w:r>
      <w:bookmarkStart w:id="30" w:name="_Hlk97938520"/>
      <w:r w:rsidRPr="007714A7">
        <w:rPr>
          <w:rFonts w:cstheme="minorHAnsi"/>
          <w:color w:val="595959"/>
        </w:rPr>
        <w:t xml:space="preserve">(έναντι 4,2% τον Δεκέμβριο 2021) </w:t>
      </w:r>
      <w:bookmarkEnd w:id="30"/>
      <w:r w:rsidRPr="007714A7">
        <w:rPr>
          <w:rFonts w:cstheme="minorHAnsi"/>
          <w:color w:val="595959"/>
        </w:rPr>
        <w:t>και για το 2023 στο 2,8% (έναντι 2,9% τον Δεκέμβριο 2021) ενώ διατήρησε αμετάβλητη τη πρόβλεψη για το 2024 στο 1,6%.</w:t>
      </w:r>
      <w:r w:rsidRPr="007714A7">
        <w:rPr>
          <w:rFonts w:cstheme="minorHAnsi"/>
          <w:color w:val="595959"/>
          <w:vertAlign w:val="superscript"/>
        </w:rPr>
        <w:footnoteReference w:id="1"/>
      </w:r>
      <w:r w:rsidRPr="007714A7">
        <w:rPr>
          <w:rFonts w:cstheme="minorHAnsi"/>
          <w:color w:val="595959"/>
        </w:rPr>
        <w:t xml:space="preserve"> </w:t>
      </w:r>
      <w:r w:rsidR="003F4366">
        <w:rPr>
          <w:rFonts w:cstheme="minorHAnsi"/>
          <w:color w:val="595959"/>
        </w:rPr>
        <w:t>Σ</w:t>
      </w:r>
      <w:r w:rsidRPr="007714A7">
        <w:rPr>
          <w:rFonts w:cstheme="minorHAnsi"/>
          <w:color w:val="595959"/>
        </w:rPr>
        <w:t xml:space="preserve">το δυσμενές σενάριο η πρόβλεψη για το 2022 </w:t>
      </w:r>
      <w:r w:rsidR="00166F11">
        <w:rPr>
          <w:rFonts w:cstheme="minorHAnsi"/>
          <w:color w:val="595959"/>
        </w:rPr>
        <w:t>μειώνεται</w:t>
      </w:r>
      <w:r w:rsidR="003F4366">
        <w:rPr>
          <w:rFonts w:cstheme="minorHAnsi"/>
          <w:color w:val="595959"/>
        </w:rPr>
        <w:t xml:space="preserve"> στο 2,5% και στο 2,7% το 2023</w:t>
      </w:r>
      <w:r w:rsidRPr="007714A7">
        <w:rPr>
          <w:rFonts w:cstheme="minorHAnsi"/>
          <w:color w:val="595959"/>
        </w:rPr>
        <w:t>,</w:t>
      </w:r>
      <w:r w:rsidR="007F797B">
        <w:rPr>
          <w:rFonts w:cstheme="minorHAnsi"/>
          <w:color w:val="595959"/>
        </w:rPr>
        <w:t xml:space="preserve"> </w:t>
      </w:r>
      <w:r w:rsidRPr="007714A7">
        <w:rPr>
          <w:rFonts w:cstheme="minorHAnsi"/>
          <w:color w:val="595959"/>
        </w:rPr>
        <w:t>ενώ στο δυσμενέστερο</w:t>
      </w:r>
      <w:r w:rsidR="00AB5FBB">
        <w:rPr>
          <w:rFonts w:cstheme="minorHAnsi"/>
          <w:color w:val="595959"/>
        </w:rPr>
        <w:t xml:space="preserve"> σενάριο</w:t>
      </w:r>
      <w:r w:rsidRPr="007714A7">
        <w:rPr>
          <w:rFonts w:cstheme="minorHAnsi"/>
          <w:color w:val="595959"/>
        </w:rPr>
        <w:t xml:space="preserve"> οι προβλέψεις είναι 2,3% για το 2022 και </w:t>
      </w:r>
      <w:r w:rsidR="003F4366">
        <w:rPr>
          <w:rFonts w:cstheme="minorHAnsi"/>
          <w:color w:val="595959"/>
        </w:rPr>
        <w:t xml:space="preserve">το </w:t>
      </w:r>
      <w:r w:rsidRPr="007714A7">
        <w:rPr>
          <w:rFonts w:cstheme="minorHAnsi"/>
          <w:color w:val="595959"/>
        </w:rPr>
        <w:t>2023.</w:t>
      </w:r>
      <w:r w:rsidR="003F4366">
        <w:rPr>
          <w:rFonts w:cstheme="minorHAnsi"/>
          <w:color w:val="595959"/>
        </w:rPr>
        <w:t xml:space="preserve"> </w:t>
      </w:r>
      <w:r w:rsidR="000227AC" w:rsidRPr="00F664EE">
        <w:rPr>
          <w:rFonts w:eastAsia="Calibri" w:cstheme="minorHAnsi"/>
          <w:color w:val="595959"/>
        </w:rPr>
        <w:t>Όσον αφορά τον πληθωρισμό βάσει του Εν</w:t>
      </w:r>
      <w:r w:rsidR="000227AC">
        <w:rPr>
          <w:rFonts w:eastAsia="Calibri" w:cstheme="minorHAnsi"/>
          <w:color w:val="595959"/>
        </w:rPr>
        <w:t xml:space="preserve">αρμονισμένου </w:t>
      </w:r>
      <w:r w:rsidR="000227AC" w:rsidRPr="00F664EE">
        <w:rPr>
          <w:rFonts w:eastAsia="Calibri" w:cstheme="minorHAnsi"/>
          <w:color w:val="595959"/>
        </w:rPr>
        <w:t xml:space="preserve">ΔΤΚ, προβλέπεται </w:t>
      </w:r>
      <w:r w:rsidR="003F4366">
        <w:rPr>
          <w:rFonts w:eastAsia="Calibri" w:cstheme="minorHAnsi"/>
          <w:color w:val="595959"/>
        </w:rPr>
        <w:t xml:space="preserve">σημαντική αύξηση </w:t>
      </w:r>
      <w:r w:rsidR="000227AC" w:rsidRPr="00F664EE">
        <w:rPr>
          <w:rFonts w:eastAsia="Calibri" w:cstheme="minorHAnsi"/>
          <w:color w:val="595959"/>
        </w:rPr>
        <w:t>στο 5,1% για το 2022</w:t>
      </w:r>
      <w:r w:rsidR="003F4366">
        <w:rPr>
          <w:rFonts w:eastAsia="Calibri" w:cstheme="minorHAnsi"/>
          <w:color w:val="595959"/>
        </w:rPr>
        <w:t xml:space="preserve"> (έναντι προηγούμενης πρόβλεψης 3,2%) και στο </w:t>
      </w:r>
      <w:r w:rsidR="000227AC" w:rsidRPr="00F664EE">
        <w:rPr>
          <w:rFonts w:eastAsia="Calibri" w:cstheme="minorHAnsi"/>
          <w:color w:val="595959"/>
        </w:rPr>
        <w:t xml:space="preserve">2,1% </w:t>
      </w:r>
      <w:r w:rsidR="003F4366" w:rsidRPr="00F664EE">
        <w:rPr>
          <w:rFonts w:eastAsia="Calibri" w:cstheme="minorHAnsi"/>
          <w:color w:val="595959"/>
        </w:rPr>
        <w:t>για το 2023</w:t>
      </w:r>
      <w:r w:rsidR="003F4366">
        <w:rPr>
          <w:rFonts w:eastAsia="Calibri" w:cstheme="minorHAnsi"/>
          <w:color w:val="595959"/>
        </w:rPr>
        <w:t xml:space="preserve"> (από 1,8%). </w:t>
      </w:r>
      <w:r w:rsidR="000227AC" w:rsidRPr="00F664EE">
        <w:rPr>
          <w:rFonts w:eastAsia="Calibri" w:cstheme="minorHAnsi"/>
          <w:color w:val="595959"/>
        </w:rPr>
        <w:t xml:space="preserve">Το δυσμενές σενάριο </w:t>
      </w:r>
      <w:r w:rsidR="003F4366">
        <w:rPr>
          <w:rFonts w:eastAsia="Calibri" w:cstheme="minorHAnsi"/>
          <w:color w:val="595959"/>
        </w:rPr>
        <w:t>προβλέπει 5,9% για το 2022 και</w:t>
      </w:r>
      <w:r w:rsidR="000227AC" w:rsidRPr="00F664EE">
        <w:rPr>
          <w:rFonts w:eastAsia="Calibri" w:cstheme="minorHAnsi"/>
          <w:color w:val="595959"/>
        </w:rPr>
        <w:t xml:space="preserve"> 2,0% για το 2023, ενώ για το δυσμενέστερο τα ποσοστά είναι αντίστοιχα 7,1%</w:t>
      </w:r>
      <w:r w:rsidR="003F4366">
        <w:rPr>
          <w:rFonts w:eastAsia="Calibri" w:cstheme="minorHAnsi"/>
          <w:color w:val="595959"/>
        </w:rPr>
        <w:t xml:space="preserve"> και</w:t>
      </w:r>
      <w:r w:rsidR="000227AC" w:rsidRPr="00F664EE">
        <w:rPr>
          <w:rFonts w:eastAsia="Calibri" w:cstheme="minorHAnsi"/>
          <w:color w:val="595959"/>
        </w:rPr>
        <w:t xml:space="preserve"> 2,7%. </w:t>
      </w:r>
    </w:p>
    <w:p w14:paraId="3310A2D0" w14:textId="77777777" w:rsidR="00646BE3" w:rsidRPr="00665C30" w:rsidRDefault="00646BE3" w:rsidP="00646BE3">
      <w:pPr>
        <w:spacing w:after="0" w:line="276" w:lineRule="auto"/>
        <w:jc w:val="both"/>
        <w:rPr>
          <w:color w:val="595959" w:themeColor="text1" w:themeTint="A6"/>
        </w:rPr>
      </w:pPr>
      <w:r w:rsidRPr="00665C30">
        <w:rPr>
          <w:color w:val="595959" w:themeColor="text1" w:themeTint="A6"/>
        </w:rPr>
        <w:t xml:space="preserve">Εμφανής είναι η </w:t>
      </w:r>
      <w:r>
        <w:rPr>
          <w:color w:val="595959" w:themeColor="text1" w:themeTint="A6"/>
        </w:rPr>
        <w:t>αύξηση</w:t>
      </w:r>
      <w:r w:rsidRPr="00665C30">
        <w:rPr>
          <w:color w:val="595959" w:themeColor="text1" w:themeTint="A6"/>
        </w:rPr>
        <w:t xml:space="preserve"> που κατέγραψε και ο </w:t>
      </w:r>
      <w:hyperlink r:id="rId16" w:history="1">
        <w:r w:rsidRPr="00665C30">
          <w:rPr>
            <w:color w:val="595959" w:themeColor="text1" w:themeTint="A6"/>
            <w:u w:val="single"/>
          </w:rPr>
          <w:t>δείκτης αβεβαιότητας παγκόσμιας οικονομικής πολιτικής (Global Economic Policy Uncertainty, GEPU)</w:t>
        </w:r>
      </w:hyperlink>
      <w:r w:rsidRPr="00665C30">
        <w:rPr>
          <w:color w:val="595959" w:themeColor="text1" w:themeTint="A6"/>
        </w:rPr>
        <w:t xml:space="preserve"> </w:t>
      </w:r>
      <w:r>
        <w:rPr>
          <w:color w:val="595959" w:themeColor="text1" w:themeTint="A6"/>
        </w:rPr>
        <w:t>από τα μέσα</w:t>
      </w:r>
      <w:r w:rsidRPr="00665C30">
        <w:rPr>
          <w:color w:val="595959" w:themeColor="text1" w:themeTint="A6"/>
        </w:rPr>
        <w:t xml:space="preserve"> του 2021, </w:t>
      </w:r>
      <w:r w:rsidRPr="005201E7">
        <w:rPr>
          <w:color w:val="595959" w:themeColor="text1" w:themeTint="A6"/>
        </w:rPr>
        <w:t>έπειτα από μια παρατεταμένη περίοδο πτώσης, ως συνέπεια αφενός της εμφάνισης νέων παραλλαγών του ιού και αφετέρου της αβεβαιότητας για τα μέτρα οικονομικής πολιτικής</w:t>
      </w:r>
      <w:r w:rsidRPr="00FD1FDD">
        <w:rPr>
          <w:color w:val="595959" w:themeColor="text1" w:themeTint="A6"/>
        </w:rPr>
        <w:t xml:space="preserve">, </w:t>
      </w:r>
      <w:r w:rsidRPr="005201E7">
        <w:rPr>
          <w:color w:val="595959" w:themeColor="text1" w:themeTint="A6"/>
        </w:rPr>
        <w:t>την εξέλιξη του πληθωρισμού</w:t>
      </w:r>
      <w:r w:rsidRPr="00FD1FDD">
        <w:rPr>
          <w:color w:val="595959" w:themeColor="text1" w:themeTint="A6"/>
        </w:rPr>
        <w:t xml:space="preserve"> </w:t>
      </w:r>
      <w:r>
        <w:rPr>
          <w:color w:val="595959" w:themeColor="text1" w:themeTint="A6"/>
        </w:rPr>
        <w:t>και των γεωπολιτικών εντάσεων</w:t>
      </w:r>
      <w:r w:rsidRPr="005201E7">
        <w:rPr>
          <w:color w:val="595959" w:themeColor="text1" w:themeTint="A6"/>
        </w:rPr>
        <w:t>.</w:t>
      </w:r>
    </w:p>
    <w:p w14:paraId="2042C16F" w14:textId="77777777" w:rsidR="00646BE3" w:rsidRPr="00AA3F76" w:rsidRDefault="00646BE3" w:rsidP="00646BE3">
      <w:pPr>
        <w:spacing w:after="0" w:line="276" w:lineRule="auto"/>
        <w:rPr>
          <w:color w:val="595959" w:themeColor="text1" w:themeTint="A6"/>
        </w:rPr>
      </w:pPr>
    </w:p>
    <w:p w14:paraId="3C0377D2" w14:textId="77777777" w:rsidR="00C00840" w:rsidRDefault="00C00840" w:rsidP="005945F6">
      <w:pPr>
        <w:pStyle w:val="Caption"/>
        <w:keepNext/>
        <w:jc w:val="center"/>
      </w:pPr>
      <w:bookmarkStart w:id="31" w:name="_Toc98189614"/>
      <w:r>
        <w:lastRenderedPageBreak/>
        <w:t xml:space="preserve">Διάγραμμα </w:t>
      </w:r>
      <w:r w:rsidR="0059099F">
        <w:fldChar w:fldCharType="begin"/>
      </w:r>
      <w:r w:rsidR="0059099F">
        <w:instrText xml:space="preserve"> SEQ Διάγραμμα \* ARABIC </w:instrText>
      </w:r>
      <w:r w:rsidR="0059099F">
        <w:fldChar w:fldCharType="separate"/>
      </w:r>
      <w:r>
        <w:rPr>
          <w:noProof/>
        </w:rPr>
        <w:t>1</w:t>
      </w:r>
      <w:r w:rsidR="0059099F">
        <w:rPr>
          <w:noProof/>
        </w:rPr>
        <w:fldChar w:fldCharType="end"/>
      </w:r>
      <w:r w:rsidRPr="00C00840">
        <w:t xml:space="preserve"> Δείκτης Αβεβαιότητας Διεθνούς Οικονομικής Πολιτικής (GEPU)</w:t>
      </w:r>
      <w:bookmarkEnd w:id="31"/>
    </w:p>
    <w:p w14:paraId="6C188B7A" w14:textId="77777777" w:rsidR="00646BE3" w:rsidRDefault="00646BE3" w:rsidP="00646BE3">
      <w:pPr>
        <w:spacing w:after="0" w:line="276" w:lineRule="auto"/>
        <w:jc w:val="center"/>
        <w:rPr>
          <w:color w:val="595959" w:themeColor="text1" w:themeTint="A6"/>
          <w:lang w:val="en-US"/>
        </w:rPr>
      </w:pPr>
      <w:r>
        <w:rPr>
          <w:noProof/>
          <w:color w:val="595959" w:themeColor="text1" w:themeTint="A6"/>
          <w:lang w:val="en-US"/>
        </w:rPr>
        <w:drawing>
          <wp:inline distT="0" distB="0" distL="0" distR="0" wp14:anchorId="5D23F0E4" wp14:editId="46DD2FB9">
            <wp:extent cx="4665600" cy="2703600"/>
            <wp:effectExtent l="0" t="0" r="0" b="0"/>
            <wp:docPr id="13"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5600" cy="2703600"/>
                    </a:xfrm>
                    <a:prstGeom prst="rect">
                      <a:avLst/>
                    </a:prstGeom>
                  </pic:spPr>
                </pic:pic>
              </a:graphicData>
            </a:graphic>
          </wp:inline>
        </w:drawing>
      </w:r>
    </w:p>
    <w:p w14:paraId="04ABBF82" w14:textId="77777777" w:rsidR="0021713E" w:rsidRPr="0011327C" w:rsidRDefault="0021713E" w:rsidP="00646BE3">
      <w:pPr>
        <w:spacing w:after="0" w:line="276" w:lineRule="auto"/>
        <w:jc w:val="center"/>
        <w:rPr>
          <w:color w:val="595959" w:themeColor="text1" w:themeTint="A6"/>
          <w:lang w:val="en-US"/>
        </w:rPr>
      </w:pPr>
    </w:p>
    <w:p w14:paraId="4BDE9F30" w14:textId="77777777" w:rsidR="003F681A" w:rsidRDefault="00646BE3" w:rsidP="00646BE3">
      <w:pPr>
        <w:jc w:val="both"/>
        <w:rPr>
          <w:color w:val="595959"/>
        </w:rPr>
      </w:pPr>
      <w:r w:rsidRPr="00C03CEB">
        <w:rPr>
          <w:color w:val="595959"/>
        </w:rPr>
        <w:t xml:space="preserve">Η </w:t>
      </w:r>
      <w:r w:rsidR="003F681A">
        <w:rPr>
          <w:color w:val="595959"/>
        </w:rPr>
        <w:t xml:space="preserve">αύξηση της διεθνούς </w:t>
      </w:r>
      <w:r w:rsidRPr="00C03CEB">
        <w:rPr>
          <w:color w:val="595959"/>
        </w:rPr>
        <w:t>αβεβαιότητα</w:t>
      </w:r>
      <w:r w:rsidR="003F681A">
        <w:rPr>
          <w:color w:val="595959"/>
        </w:rPr>
        <w:t xml:space="preserve">ς που ήταν εμφανής από τα μέσα του προηγούμενου έτους θα ενισχυθεί σημαντικά από τον πόλεμο στην Ουκρανία. Συγκεκριμένα, οι πρόσθετοι κίνδυνοι που προκύπτουν αφορούν: </w:t>
      </w:r>
    </w:p>
    <w:p w14:paraId="368DE0C9" w14:textId="77777777" w:rsidR="003F681A" w:rsidRDefault="003F681A" w:rsidP="00646BE3">
      <w:pPr>
        <w:pStyle w:val="ListParagraph"/>
        <w:numPr>
          <w:ilvl w:val="0"/>
          <w:numId w:val="20"/>
        </w:numPr>
        <w:jc w:val="both"/>
        <w:rPr>
          <w:color w:val="595959"/>
        </w:rPr>
      </w:pPr>
      <w:r>
        <w:rPr>
          <w:color w:val="595959"/>
        </w:rPr>
        <w:t>Την αύξηση στις τιμές της ενέργειας, των τροφίμων και βασικών πρώτων υλών που εντείνουν τις πληθωριστικές πιέσεις και επιβραδύνουν την οικονομική μεγέθυνση.</w:t>
      </w:r>
    </w:p>
    <w:p w14:paraId="7BF54B85" w14:textId="77777777" w:rsidR="003F681A" w:rsidRDefault="003F681A" w:rsidP="00646BE3">
      <w:pPr>
        <w:pStyle w:val="ListParagraph"/>
        <w:numPr>
          <w:ilvl w:val="0"/>
          <w:numId w:val="20"/>
        </w:numPr>
        <w:jc w:val="both"/>
        <w:rPr>
          <w:color w:val="595959"/>
        </w:rPr>
      </w:pPr>
      <w:r>
        <w:rPr>
          <w:color w:val="595959"/>
        </w:rPr>
        <w:t>Τα διλήμματα στην άσκηση της νομισματικής πολιτικής απέναντι σε συνθήκες στασιμοπληθωρισμού.</w:t>
      </w:r>
    </w:p>
    <w:p w14:paraId="0C5F189E" w14:textId="77777777" w:rsidR="003F681A" w:rsidRDefault="003F681A" w:rsidP="00646BE3">
      <w:pPr>
        <w:pStyle w:val="ListParagraph"/>
        <w:numPr>
          <w:ilvl w:val="0"/>
          <w:numId w:val="20"/>
        </w:numPr>
        <w:jc w:val="both"/>
        <w:rPr>
          <w:color w:val="595959"/>
        </w:rPr>
      </w:pPr>
      <w:r>
        <w:rPr>
          <w:color w:val="595959"/>
        </w:rPr>
        <w:t xml:space="preserve">Τη σημαντική επιδείνωση των διπλωματικών σχέσεων ανάμεσα στη Ρωσία και </w:t>
      </w:r>
      <w:r w:rsidR="00646BE3">
        <w:rPr>
          <w:color w:val="595959"/>
        </w:rPr>
        <w:t xml:space="preserve">τις χώρες-μέλη του ΝΑΤΟ </w:t>
      </w:r>
      <w:r w:rsidR="00C403D2">
        <w:rPr>
          <w:color w:val="595959"/>
        </w:rPr>
        <w:t xml:space="preserve">και της ΕΕ </w:t>
      </w:r>
      <w:r>
        <w:rPr>
          <w:color w:val="595959"/>
        </w:rPr>
        <w:t xml:space="preserve">με την επιβολή αυστηρών οικονομικών κυρώσεων που </w:t>
      </w:r>
      <w:r w:rsidR="00646BE3" w:rsidRPr="00221BE2">
        <w:rPr>
          <w:color w:val="595959"/>
        </w:rPr>
        <w:t xml:space="preserve">θέτουν σε κίνδυνο τον ενεργειακό εφοδιασμό, το διεθνές εμπόριο και την πολιτική συνεργασία. </w:t>
      </w:r>
    </w:p>
    <w:p w14:paraId="37401D12" w14:textId="77777777" w:rsidR="003F681A" w:rsidRDefault="003F681A" w:rsidP="001E0C16">
      <w:pPr>
        <w:pStyle w:val="ListParagraph"/>
        <w:numPr>
          <w:ilvl w:val="0"/>
          <w:numId w:val="20"/>
        </w:numPr>
        <w:jc w:val="both"/>
        <w:rPr>
          <w:color w:val="595959"/>
        </w:rPr>
      </w:pPr>
      <w:r>
        <w:rPr>
          <w:color w:val="595959"/>
        </w:rPr>
        <w:t xml:space="preserve">Τα προβλήματα τροφοδοσίας πρώτων υλών σε σημαντικούς βιομηχανικούς κλάδους όπως η αυτοκινητοβιομηχανία και η παραγωγή ψηφιακών συσκευών. </w:t>
      </w:r>
    </w:p>
    <w:p w14:paraId="31A813CE" w14:textId="77777777" w:rsidR="003F681A" w:rsidRDefault="003F681A" w:rsidP="001E0C16">
      <w:pPr>
        <w:pStyle w:val="ListParagraph"/>
        <w:numPr>
          <w:ilvl w:val="0"/>
          <w:numId w:val="20"/>
        </w:numPr>
        <w:jc w:val="both"/>
        <w:rPr>
          <w:color w:val="595959"/>
        </w:rPr>
      </w:pPr>
      <w:r>
        <w:rPr>
          <w:color w:val="595959"/>
        </w:rPr>
        <w:t xml:space="preserve">Τις </w:t>
      </w:r>
      <w:r w:rsidRPr="003F681A">
        <w:rPr>
          <w:color w:val="595959"/>
        </w:rPr>
        <w:t xml:space="preserve">κοινωνικές αναταραχές και </w:t>
      </w:r>
      <w:r>
        <w:rPr>
          <w:color w:val="595959"/>
        </w:rPr>
        <w:t xml:space="preserve">την </w:t>
      </w:r>
      <w:r w:rsidRPr="003F681A">
        <w:rPr>
          <w:color w:val="595959"/>
        </w:rPr>
        <w:t xml:space="preserve">πολιτική αστάθεια </w:t>
      </w:r>
      <w:r>
        <w:rPr>
          <w:color w:val="595959"/>
        </w:rPr>
        <w:t xml:space="preserve">που θα προκαλέσουν οι </w:t>
      </w:r>
      <w:r w:rsidRPr="003F681A">
        <w:rPr>
          <w:color w:val="595959"/>
        </w:rPr>
        <w:t>αυξημένες τιμές της ενέργειας και των τροφίμων.</w:t>
      </w:r>
    </w:p>
    <w:p w14:paraId="180C9EA1" w14:textId="77777777" w:rsidR="00646BE3" w:rsidRPr="003F681A" w:rsidRDefault="003F681A" w:rsidP="001E0C16">
      <w:pPr>
        <w:pStyle w:val="ListParagraph"/>
        <w:numPr>
          <w:ilvl w:val="0"/>
          <w:numId w:val="20"/>
        </w:numPr>
        <w:jc w:val="both"/>
        <w:rPr>
          <w:color w:val="595959"/>
        </w:rPr>
      </w:pPr>
      <w:r>
        <w:rPr>
          <w:color w:val="595959"/>
        </w:rPr>
        <w:t>Την αναμενόμενη αύξηση των δημόσιων δαπανών για την προστασία  των ευάλωτων πολιτών, τη διαχείριση του προσφυγικού κύματος και την ενίσχυση της άμυνας.</w:t>
      </w:r>
      <w:r w:rsidRPr="003F681A">
        <w:rPr>
          <w:color w:val="595959"/>
        </w:rPr>
        <w:t xml:space="preserve"> </w:t>
      </w:r>
    </w:p>
    <w:p w14:paraId="372E4355" w14:textId="77777777" w:rsidR="00646BE3" w:rsidRPr="00AC2524" w:rsidRDefault="00646BE3" w:rsidP="008E3F8B">
      <w:pPr>
        <w:pStyle w:val="ListParagraph"/>
        <w:spacing w:after="0"/>
      </w:pPr>
    </w:p>
    <w:p w14:paraId="04D9DA3E" w14:textId="77777777" w:rsidR="000D0589" w:rsidRDefault="000D0589">
      <w:pPr>
        <w:rPr>
          <w:rFonts w:asciiTheme="majorHAnsi" w:eastAsia="Times New Roman" w:hAnsiTheme="majorHAnsi" w:cstheme="majorBidi"/>
          <w:b/>
          <w:bCs/>
          <w:color w:val="4472C4" w:themeColor="accent1"/>
          <w:sz w:val="26"/>
          <w:szCs w:val="26"/>
        </w:rPr>
      </w:pPr>
      <w:bookmarkStart w:id="32" w:name="_Toc90033333"/>
      <w:bookmarkStart w:id="33" w:name="_Toc98160516"/>
      <w:r>
        <w:rPr>
          <w:rFonts w:eastAsia="Times New Roman"/>
        </w:rPr>
        <w:br w:type="page"/>
      </w:r>
    </w:p>
    <w:p w14:paraId="34961F24" w14:textId="77777777" w:rsidR="00646BE3" w:rsidRPr="004209C8" w:rsidRDefault="00646BE3" w:rsidP="00646BE3">
      <w:pPr>
        <w:pStyle w:val="Heading2"/>
        <w:spacing w:before="0"/>
        <w:rPr>
          <w:rFonts w:eastAsia="Times New Roman"/>
        </w:rPr>
      </w:pPr>
      <w:r w:rsidRPr="004209C8">
        <w:rPr>
          <w:rFonts w:eastAsia="Times New Roman"/>
        </w:rPr>
        <w:lastRenderedPageBreak/>
        <w:t>1.2. Εγχώριο περιβάλλον</w:t>
      </w:r>
      <w:bookmarkEnd w:id="32"/>
      <w:bookmarkEnd w:id="33"/>
    </w:p>
    <w:p w14:paraId="7E357EC4" w14:textId="77777777" w:rsidR="00646BE3" w:rsidRPr="004209C8" w:rsidRDefault="00646BE3" w:rsidP="00646BE3">
      <w:pPr>
        <w:spacing w:after="0" w:line="276" w:lineRule="auto"/>
      </w:pPr>
    </w:p>
    <w:p w14:paraId="654D2B79" w14:textId="77777777" w:rsidR="00646BE3" w:rsidRPr="00573885" w:rsidRDefault="00646BE3" w:rsidP="00646BE3">
      <w:pPr>
        <w:pStyle w:val="Heading3"/>
        <w:spacing w:before="0"/>
      </w:pPr>
      <w:bookmarkStart w:id="34" w:name="_Toc90033334"/>
      <w:bookmarkStart w:id="35" w:name="_Toc98160517"/>
      <w:r w:rsidRPr="00573885">
        <w:t>ΑΕΠ και συνιστώσες</w:t>
      </w:r>
      <w:bookmarkEnd w:id="34"/>
      <w:bookmarkEnd w:id="35"/>
    </w:p>
    <w:p w14:paraId="5C89ADFA" w14:textId="77777777" w:rsidR="00646BE3" w:rsidRPr="00D120A6" w:rsidRDefault="00646BE3" w:rsidP="00646BE3">
      <w:pPr>
        <w:spacing w:after="0" w:line="276" w:lineRule="auto"/>
        <w:jc w:val="both"/>
        <w:rPr>
          <w:highlight w:val="yellow"/>
        </w:rPr>
      </w:pPr>
    </w:p>
    <w:p w14:paraId="28E434AD" w14:textId="77777777" w:rsidR="00646BE3" w:rsidRPr="00933845" w:rsidRDefault="00646BE3" w:rsidP="00646BE3">
      <w:pPr>
        <w:autoSpaceDE w:val="0"/>
        <w:autoSpaceDN w:val="0"/>
        <w:adjustRightInd w:val="0"/>
        <w:spacing w:line="276" w:lineRule="auto"/>
        <w:jc w:val="both"/>
        <w:rPr>
          <w:rFonts w:ascii="Calibri" w:eastAsia="Calibri" w:hAnsi="Calibri" w:cs="Calibri"/>
          <w:color w:val="595959" w:themeColor="text1" w:themeTint="A6"/>
        </w:rPr>
      </w:pPr>
      <w:r w:rsidRPr="00BB452D">
        <w:rPr>
          <w:rFonts w:ascii="Calibri" w:eastAsia="Calibri" w:hAnsi="Calibri" w:cs="Calibri"/>
          <w:color w:val="595959"/>
        </w:rPr>
        <w:t xml:space="preserve">Σύμφωνα με </w:t>
      </w:r>
      <w:hyperlink r:id="rId18" w:history="1">
        <w:r w:rsidRPr="00BB452D">
          <w:rPr>
            <w:rStyle w:val="Hyperlink"/>
            <w:rFonts w:ascii="Calibri" w:eastAsia="Calibri" w:hAnsi="Calibri" w:cs="Calibri"/>
            <w:color w:val="595959"/>
          </w:rPr>
          <w:t>τα προσωρινά στοιχεία της ΕΛΣΤΑΤ</w:t>
        </w:r>
      </w:hyperlink>
      <w:r w:rsidRPr="00BB452D">
        <w:rPr>
          <w:rFonts w:ascii="Calibri" w:eastAsia="Calibri" w:hAnsi="Calibri" w:cs="Calibri"/>
          <w:color w:val="595959"/>
        </w:rPr>
        <w:t xml:space="preserve">, το Ακαθάριστο Εγχώριο Προϊόν (ΑΕΠ) παρουσίασε </w:t>
      </w:r>
      <w:r>
        <w:rPr>
          <w:rFonts w:ascii="Calibri" w:eastAsia="Calibri" w:hAnsi="Calibri" w:cs="Calibri"/>
          <w:color w:val="595959"/>
        </w:rPr>
        <w:t>αύξηση</w:t>
      </w:r>
      <w:r w:rsidRPr="00BB452D">
        <w:rPr>
          <w:rFonts w:ascii="Calibri" w:eastAsia="Calibri" w:hAnsi="Calibri" w:cs="Calibri"/>
          <w:color w:val="595959"/>
        </w:rPr>
        <w:t xml:space="preserve"> 8</w:t>
      </w:r>
      <w:r>
        <w:rPr>
          <w:rFonts w:ascii="Calibri" w:eastAsia="Calibri" w:hAnsi="Calibri" w:cs="Calibri"/>
          <w:color w:val="595959"/>
        </w:rPr>
        <w:t>,3</w:t>
      </w:r>
      <w:r w:rsidRPr="00BB452D">
        <w:rPr>
          <w:rFonts w:ascii="Calibri" w:eastAsia="Calibri" w:hAnsi="Calibri" w:cs="Calibri"/>
          <w:color w:val="595959"/>
        </w:rPr>
        <w:t>% το 202</w:t>
      </w:r>
      <w:r>
        <w:rPr>
          <w:rFonts w:ascii="Calibri" w:eastAsia="Calibri" w:hAnsi="Calibri" w:cs="Calibri"/>
          <w:color w:val="595959"/>
        </w:rPr>
        <w:t>1</w:t>
      </w:r>
      <w:r w:rsidRPr="00BB452D">
        <w:rPr>
          <w:rFonts w:ascii="Calibri" w:eastAsia="Calibri" w:hAnsi="Calibri" w:cs="Calibri"/>
          <w:color w:val="595959"/>
        </w:rPr>
        <w:t xml:space="preserve"> σε σχέση με το 20</w:t>
      </w:r>
      <w:r>
        <w:rPr>
          <w:rFonts w:ascii="Calibri" w:eastAsia="Calibri" w:hAnsi="Calibri" w:cs="Calibri"/>
          <w:color w:val="595959"/>
        </w:rPr>
        <w:t>20</w:t>
      </w:r>
      <w:r w:rsidRPr="00BB452D">
        <w:rPr>
          <w:rFonts w:ascii="Calibri" w:eastAsia="Calibri" w:hAnsi="Calibri" w:cs="Calibri"/>
          <w:color w:val="595959"/>
        </w:rPr>
        <w:t xml:space="preserve"> (</w:t>
      </w:r>
      <w:hyperlink r:id="rId19" w:history="1">
        <w:r w:rsidRPr="00BB452D">
          <w:rPr>
            <w:rFonts w:ascii="Calibri" w:eastAsia="Calibri" w:hAnsi="Calibri" w:cs="Calibri"/>
            <w:color w:val="595959"/>
            <w:u w:val="single"/>
          </w:rPr>
          <w:t>έναντι</w:t>
        </w:r>
        <w:r w:rsidRPr="00781CF8">
          <w:rPr>
            <w:rFonts w:ascii="Calibri" w:eastAsia="Calibri" w:hAnsi="Calibri" w:cs="Calibri"/>
            <w:color w:val="595959"/>
            <w:u w:val="single"/>
          </w:rPr>
          <w:t xml:space="preserve"> 5,3</w:t>
        </w:r>
        <w:r w:rsidRPr="00BB452D">
          <w:rPr>
            <w:rFonts w:ascii="Calibri" w:eastAsia="Calibri" w:hAnsi="Calibri" w:cs="Calibri"/>
            <w:color w:val="595959"/>
            <w:u w:val="single"/>
          </w:rPr>
          <w:t>% στην Ευρωζώνη</w:t>
        </w:r>
      </w:hyperlink>
      <w:r w:rsidRPr="00BB452D">
        <w:rPr>
          <w:rFonts w:ascii="Calibri" w:eastAsia="Calibri" w:hAnsi="Calibri" w:cs="Calibri"/>
          <w:color w:val="595959"/>
        </w:rPr>
        <w:t xml:space="preserve">) αντανακλώντας την </w:t>
      </w:r>
      <w:r>
        <w:rPr>
          <w:rFonts w:ascii="Calibri" w:eastAsia="Calibri" w:hAnsi="Calibri" w:cs="Calibri"/>
          <w:color w:val="595959"/>
        </w:rPr>
        <w:t>ανάκαμψη της εγχώριας οικονομίας μετά το περιορισμό των μέτρων για την αντιμετώπιση της</w:t>
      </w:r>
      <w:r w:rsidRPr="00BB452D">
        <w:rPr>
          <w:rFonts w:ascii="Calibri" w:eastAsia="Calibri" w:hAnsi="Calibri" w:cs="Calibri"/>
          <w:color w:val="595959"/>
        </w:rPr>
        <w:t xml:space="preserve"> πανδημίας. Με βάση τα στοιχεία για το τελευταίο τρίμηνο του 202</w:t>
      </w:r>
      <w:r>
        <w:rPr>
          <w:rFonts w:ascii="Calibri" w:eastAsia="Calibri" w:hAnsi="Calibri" w:cs="Calibri"/>
          <w:color w:val="595959"/>
        </w:rPr>
        <w:t xml:space="preserve">1 </w:t>
      </w:r>
      <w:r w:rsidRPr="00BB452D">
        <w:rPr>
          <w:rFonts w:ascii="Calibri" w:eastAsia="Calibri" w:hAnsi="Calibri" w:cs="Calibri"/>
          <w:color w:val="595959"/>
        </w:rPr>
        <w:t xml:space="preserve">το ΑΕΠ παρουσίασε </w:t>
      </w:r>
      <w:r w:rsidRPr="00416E45">
        <w:rPr>
          <w:rFonts w:ascii="Calibri" w:eastAsia="Calibri" w:hAnsi="Calibri" w:cs="Calibri"/>
          <w:color w:val="595959"/>
        </w:rPr>
        <w:t xml:space="preserve">αύξηση </w:t>
      </w:r>
      <w:r>
        <w:rPr>
          <w:rFonts w:ascii="Calibri" w:eastAsia="Calibri" w:hAnsi="Calibri" w:cs="Calibri"/>
          <w:color w:val="595959"/>
        </w:rPr>
        <w:t>7,7</w:t>
      </w:r>
      <w:r w:rsidRPr="00BB452D">
        <w:rPr>
          <w:rFonts w:ascii="Calibri" w:eastAsia="Calibri" w:hAnsi="Calibri" w:cs="Calibri"/>
          <w:color w:val="595959"/>
        </w:rPr>
        <w:t>% σε σχέση με το τελευταίο τρίμηνο το 20</w:t>
      </w:r>
      <w:r>
        <w:rPr>
          <w:rFonts w:ascii="Calibri" w:eastAsia="Calibri" w:hAnsi="Calibri" w:cs="Calibri"/>
          <w:color w:val="595959"/>
        </w:rPr>
        <w:t>20</w:t>
      </w:r>
      <w:r w:rsidRPr="00BB452D">
        <w:rPr>
          <w:rFonts w:ascii="Calibri" w:eastAsia="Calibri" w:hAnsi="Calibri" w:cs="Calibri"/>
          <w:color w:val="595959"/>
        </w:rPr>
        <w:t xml:space="preserve"> (</w:t>
      </w:r>
      <w:hyperlink r:id="rId20" w:tgtFrame="_blank" w:history="1">
        <w:r w:rsidRPr="00BB452D">
          <w:rPr>
            <w:rFonts w:ascii="Calibri" w:eastAsia="Calibri" w:hAnsi="Calibri" w:cs="Calibri"/>
            <w:color w:val="595959"/>
            <w:u w:val="single"/>
          </w:rPr>
          <w:t>έναντι</w:t>
        </w:r>
        <w:r w:rsidRPr="00933845">
          <w:t xml:space="preserve"> </w:t>
        </w:r>
        <w:r w:rsidRPr="00933845">
          <w:rPr>
            <w:rFonts w:ascii="Calibri" w:eastAsia="Calibri" w:hAnsi="Calibri" w:cs="Calibri"/>
            <w:color w:val="595959"/>
            <w:u w:val="single"/>
          </w:rPr>
          <w:t>αύξησης κατά</w:t>
        </w:r>
        <w:r w:rsidRPr="00BB452D">
          <w:rPr>
            <w:rFonts w:ascii="Calibri" w:eastAsia="Calibri" w:hAnsi="Calibri" w:cs="Calibri"/>
            <w:color w:val="595959"/>
            <w:u w:val="single"/>
          </w:rPr>
          <w:t xml:space="preserve"> </w:t>
        </w:r>
        <w:r w:rsidRPr="00933845">
          <w:rPr>
            <w:rFonts w:ascii="Calibri" w:eastAsia="Calibri" w:hAnsi="Calibri" w:cs="Calibri"/>
            <w:color w:val="595959"/>
            <w:u w:val="single"/>
          </w:rPr>
          <w:t>4,6</w:t>
        </w:r>
        <w:r w:rsidRPr="00BB452D">
          <w:rPr>
            <w:rFonts w:ascii="Calibri" w:eastAsia="Calibri" w:hAnsi="Calibri" w:cs="Calibri"/>
            <w:color w:val="595959"/>
            <w:u w:val="single"/>
          </w:rPr>
          <w:t>% στην Ευρωζώνη</w:t>
        </w:r>
      </w:hyperlink>
      <w:r w:rsidRPr="00BB452D">
        <w:rPr>
          <w:rFonts w:ascii="Calibri" w:eastAsia="Calibri" w:hAnsi="Calibri" w:cs="Calibri"/>
          <w:color w:val="595959"/>
        </w:rPr>
        <w:t>).</w:t>
      </w:r>
    </w:p>
    <w:p w14:paraId="55C5970E" w14:textId="77777777" w:rsidR="004942BC" w:rsidRPr="006F2BF2" w:rsidRDefault="00646BE3" w:rsidP="00646BE3">
      <w:pPr>
        <w:autoSpaceDE w:val="0"/>
        <w:autoSpaceDN w:val="0"/>
        <w:adjustRightInd w:val="0"/>
        <w:spacing w:after="0" w:line="276" w:lineRule="auto"/>
        <w:jc w:val="both"/>
        <w:rPr>
          <w:rFonts w:ascii="Calibri" w:eastAsia="Calibri" w:hAnsi="Calibri" w:cs="Calibri"/>
          <w:color w:val="595959"/>
        </w:rPr>
      </w:pPr>
      <w:r w:rsidRPr="00933845">
        <w:rPr>
          <w:rFonts w:ascii="Calibri" w:eastAsia="Calibri" w:hAnsi="Calibri" w:cs="Calibri"/>
          <w:color w:val="595959" w:themeColor="text1" w:themeTint="A6"/>
        </w:rPr>
        <w:t xml:space="preserve">Η </w:t>
      </w:r>
      <w:r w:rsidRPr="000049F5">
        <w:rPr>
          <w:rFonts w:ascii="Calibri" w:eastAsia="Calibri" w:hAnsi="Calibri" w:cs="Calibri"/>
          <w:color w:val="595959"/>
        </w:rPr>
        <w:t xml:space="preserve">αύξηση του ΑΕΠ οφείλεται κυρίως στην </w:t>
      </w:r>
      <w:r w:rsidR="006C27B1">
        <w:rPr>
          <w:rFonts w:ascii="Calibri" w:eastAsia="Calibri" w:hAnsi="Calibri" w:cs="Calibri"/>
          <w:color w:val="595959"/>
        </w:rPr>
        <w:t xml:space="preserve">δυναμική </w:t>
      </w:r>
      <w:r w:rsidRPr="000049F5">
        <w:rPr>
          <w:rFonts w:ascii="Calibri" w:eastAsia="Calibri" w:hAnsi="Calibri" w:cs="Calibri"/>
          <w:color w:val="595959"/>
        </w:rPr>
        <w:t xml:space="preserve">αύξηση των </w:t>
      </w:r>
      <w:r w:rsidRPr="000049F5">
        <w:rPr>
          <w:color w:val="595959"/>
        </w:rPr>
        <w:t xml:space="preserve">Εξαγωγών Αγαθών και Υπηρεσιών (24,1% </w:t>
      </w:r>
      <w:bookmarkStart w:id="36" w:name="_Hlk97309213"/>
      <w:r w:rsidRPr="000049F5">
        <w:rPr>
          <w:color w:val="595959"/>
        </w:rPr>
        <w:t>συνολικά, 63,2% για υπηρεσίες και 4,1% για αγαθά</w:t>
      </w:r>
      <w:bookmarkEnd w:id="36"/>
      <w:r w:rsidRPr="000049F5">
        <w:rPr>
          <w:color w:val="595959"/>
        </w:rPr>
        <w:t>),</w:t>
      </w:r>
      <w:r w:rsidRPr="000049F5">
        <w:rPr>
          <w:rFonts w:ascii="Calibri" w:eastAsia="Calibri" w:hAnsi="Calibri" w:cs="Calibri"/>
          <w:color w:val="595959"/>
        </w:rPr>
        <w:t xml:space="preserve"> των Επενδύσεων (24,1%), και της Ιδιωτικής Κατανάλωσης (9,7%). Αντίθετα, αρνητική επίπτωση είχε η σημαντική αύξηση των Εισαγωγών Αγαθών και Υπηρεσιών (33,2%</w:t>
      </w:r>
      <w:r w:rsidRPr="000049F5">
        <w:rPr>
          <w:color w:val="595959"/>
        </w:rPr>
        <w:t xml:space="preserve"> </w:t>
      </w:r>
      <w:r w:rsidRPr="000049F5">
        <w:rPr>
          <w:rFonts w:ascii="Calibri" w:eastAsia="Calibri" w:hAnsi="Calibri" w:cs="Calibri"/>
          <w:color w:val="595959"/>
        </w:rPr>
        <w:t>συνολικά, 43,4% για υπηρεσίες και 29,8% για αγαθά) και της Δημόσιας Κατανάλωσης (-0,8%).</w:t>
      </w:r>
    </w:p>
    <w:p w14:paraId="1840D57F" w14:textId="77777777" w:rsidR="00646BE3" w:rsidRDefault="00646BE3" w:rsidP="005945F6">
      <w:pPr>
        <w:autoSpaceDE w:val="0"/>
        <w:autoSpaceDN w:val="0"/>
        <w:adjustRightInd w:val="0"/>
        <w:spacing w:after="0" w:line="276" w:lineRule="auto"/>
        <w:jc w:val="both"/>
      </w:pPr>
    </w:p>
    <w:p w14:paraId="0A4B21B6" w14:textId="77777777" w:rsidR="004942BC" w:rsidRDefault="004942BC" w:rsidP="005945F6">
      <w:pPr>
        <w:pStyle w:val="Caption"/>
        <w:keepNext/>
        <w:jc w:val="center"/>
      </w:pPr>
      <w:bookmarkStart w:id="37" w:name="_Toc98160544"/>
      <w:r>
        <w:t xml:space="preserve">Πίνακας </w:t>
      </w:r>
      <w:r w:rsidR="0059099F">
        <w:fldChar w:fldCharType="begin"/>
      </w:r>
      <w:r w:rsidR="0059099F">
        <w:instrText xml:space="preserve"> SEQ Πίνακας \* ARABIC </w:instrText>
      </w:r>
      <w:r w:rsidR="0059099F">
        <w:fldChar w:fldCharType="separate"/>
      </w:r>
      <w:r w:rsidR="003B23C4">
        <w:rPr>
          <w:noProof/>
        </w:rPr>
        <w:t>1</w:t>
      </w:r>
      <w:r w:rsidR="0059099F">
        <w:rPr>
          <w:noProof/>
        </w:rPr>
        <w:fldChar w:fldCharType="end"/>
      </w:r>
      <w:r w:rsidRPr="004942BC">
        <w:t xml:space="preserve"> ΑΕΠ και συνιστώσες, ποσοστιαίες μεταβολές (%)</w:t>
      </w:r>
      <w:bookmarkEnd w:id="37"/>
    </w:p>
    <w:tbl>
      <w:tblPr>
        <w:tblW w:w="8306" w:type="dxa"/>
        <w:jc w:val="center"/>
        <w:tblLayout w:type="fixed"/>
        <w:tblLook w:val="04A0" w:firstRow="1" w:lastRow="0" w:firstColumn="1" w:lastColumn="0" w:noHBand="0" w:noVBand="1"/>
      </w:tblPr>
      <w:tblGrid>
        <w:gridCol w:w="1276"/>
        <w:gridCol w:w="992"/>
        <w:gridCol w:w="862"/>
        <w:gridCol w:w="863"/>
        <w:gridCol w:w="862"/>
        <w:gridCol w:w="863"/>
        <w:gridCol w:w="862"/>
        <w:gridCol w:w="863"/>
        <w:gridCol w:w="863"/>
      </w:tblGrid>
      <w:tr w:rsidR="00646BE3" w:rsidRPr="003B5136" w14:paraId="4E865FA5" w14:textId="77777777" w:rsidTr="003F4366">
        <w:trPr>
          <w:trHeight w:val="300"/>
          <w:jc w:val="center"/>
        </w:trPr>
        <w:tc>
          <w:tcPr>
            <w:tcW w:w="1276" w:type="dxa"/>
            <w:tcBorders>
              <w:top w:val="nil"/>
              <w:left w:val="nil"/>
              <w:bottom w:val="single" w:sz="4" w:space="0" w:color="auto"/>
              <w:right w:val="nil"/>
            </w:tcBorders>
            <w:shd w:val="clear" w:color="auto" w:fill="auto"/>
            <w:noWrap/>
            <w:vAlign w:val="center"/>
            <w:hideMark/>
          </w:tcPr>
          <w:p w14:paraId="7F58FBE9" w14:textId="77777777" w:rsidR="00646BE3" w:rsidRPr="003B5136" w:rsidRDefault="00646BE3" w:rsidP="003F4366">
            <w:pPr>
              <w:spacing w:after="0" w:line="240" w:lineRule="auto"/>
              <w:ind w:right="742"/>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 </w:t>
            </w:r>
          </w:p>
        </w:tc>
        <w:tc>
          <w:tcPr>
            <w:tcW w:w="992" w:type="dxa"/>
            <w:tcBorders>
              <w:top w:val="nil"/>
              <w:left w:val="nil"/>
              <w:bottom w:val="single" w:sz="4" w:space="0" w:color="auto"/>
              <w:right w:val="nil"/>
            </w:tcBorders>
            <w:shd w:val="clear" w:color="auto" w:fill="auto"/>
            <w:noWrap/>
            <w:vAlign w:val="bottom"/>
            <w:hideMark/>
          </w:tcPr>
          <w:p w14:paraId="13C50DB6"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 </w:t>
            </w:r>
          </w:p>
        </w:tc>
        <w:tc>
          <w:tcPr>
            <w:tcW w:w="862" w:type="dxa"/>
            <w:tcBorders>
              <w:top w:val="nil"/>
              <w:left w:val="nil"/>
              <w:bottom w:val="single" w:sz="4" w:space="0" w:color="auto"/>
              <w:right w:val="nil"/>
            </w:tcBorders>
            <w:shd w:val="clear" w:color="auto" w:fill="auto"/>
            <w:noWrap/>
            <w:vAlign w:val="center"/>
            <w:hideMark/>
          </w:tcPr>
          <w:p w14:paraId="09ABC089" w14:textId="77777777" w:rsidR="00646BE3" w:rsidRPr="003B5136" w:rsidRDefault="00646BE3" w:rsidP="003F4366">
            <w:pPr>
              <w:spacing w:after="0" w:line="240" w:lineRule="auto"/>
              <w:jc w:val="center"/>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201</w:t>
            </w:r>
            <w:r>
              <w:rPr>
                <w:rFonts w:ascii="Calibri Light" w:eastAsia="Times New Roman" w:hAnsi="Calibri Light" w:cs="Calibri Light"/>
                <w:color w:val="595959"/>
                <w:sz w:val="18"/>
                <w:szCs w:val="18"/>
                <w:lang w:eastAsia="el-GR"/>
              </w:rPr>
              <w:t>9</w:t>
            </w:r>
          </w:p>
        </w:tc>
        <w:tc>
          <w:tcPr>
            <w:tcW w:w="863" w:type="dxa"/>
            <w:tcBorders>
              <w:top w:val="nil"/>
              <w:left w:val="nil"/>
              <w:bottom w:val="single" w:sz="4" w:space="0" w:color="auto"/>
              <w:right w:val="nil"/>
            </w:tcBorders>
            <w:shd w:val="clear" w:color="auto" w:fill="auto"/>
            <w:noWrap/>
            <w:vAlign w:val="center"/>
            <w:hideMark/>
          </w:tcPr>
          <w:p w14:paraId="1D05EAD7" w14:textId="77777777" w:rsidR="00646BE3" w:rsidRPr="003B5136" w:rsidRDefault="00646BE3" w:rsidP="003F4366">
            <w:pPr>
              <w:spacing w:after="0" w:line="240" w:lineRule="auto"/>
              <w:jc w:val="center"/>
              <w:rPr>
                <w:rFonts w:ascii="Calibri Light" w:eastAsia="Times New Roman" w:hAnsi="Calibri Light" w:cs="Calibri Light"/>
                <w:color w:val="595959"/>
                <w:sz w:val="18"/>
                <w:szCs w:val="18"/>
                <w:lang w:val="en-US" w:eastAsia="el-GR"/>
              </w:rPr>
            </w:pPr>
            <w:r w:rsidRPr="003B5136">
              <w:rPr>
                <w:rFonts w:ascii="Calibri Light" w:eastAsia="Times New Roman" w:hAnsi="Calibri Light" w:cs="Calibri Light"/>
                <w:color w:val="595959"/>
                <w:sz w:val="18"/>
                <w:szCs w:val="18"/>
                <w:lang w:eastAsia="el-GR"/>
              </w:rPr>
              <w:t>20</w:t>
            </w:r>
            <w:r>
              <w:rPr>
                <w:rFonts w:ascii="Calibri Light" w:eastAsia="Times New Roman" w:hAnsi="Calibri Light" w:cs="Calibri Light"/>
                <w:color w:val="595959"/>
                <w:sz w:val="18"/>
                <w:szCs w:val="18"/>
                <w:lang w:eastAsia="el-GR"/>
              </w:rPr>
              <w:t>20</w:t>
            </w:r>
          </w:p>
        </w:tc>
        <w:tc>
          <w:tcPr>
            <w:tcW w:w="862" w:type="dxa"/>
            <w:tcBorders>
              <w:top w:val="nil"/>
              <w:left w:val="nil"/>
              <w:bottom w:val="single" w:sz="4" w:space="0" w:color="auto"/>
              <w:right w:val="nil"/>
            </w:tcBorders>
            <w:shd w:val="clear" w:color="auto" w:fill="auto"/>
            <w:noWrap/>
            <w:vAlign w:val="center"/>
            <w:hideMark/>
          </w:tcPr>
          <w:p w14:paraId="070EEDE2" w14:textId="77777777" w:rsidR="00646BE3" w:rsidRPr="003B5136" w:rsidRDefault="00646BE3" w:rsidP="003F4366">
            <w:pPr>
              <w:spacing w:after="0" w:line="240" w:lineRule="auto"/>
              <w:jc w:val="center"/>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20</w:t>
            </w:r>
            <w:r w:rsidRPr="003B5136">
              <w:rPr>
                <w:rFonts w:ascii="Calibri Light" w:eastAsia="Times New Roman" w:hAnsi="Calibri Light" w:cs="Calibri Light"/>
                <w:color w:val="595959"/>
                <w:sz w:val="18"/>
                <w:szCs w:val="18"/>
                <w:lang w:val="en-US" w:eastAsia="el-GR"/>
              </w:rPr>
              <w:t>2</w:t>
            </w:r>
            <w:r>
              <w:rPr>
                <w:rFonts w:ascii="Calibri Light" w:eastAsia="Times New Roman" w:hAnsi="Calibri Light" w:cs="Calibri Light"/>
                <w:color w:val="595959"/>
                <w:sz w:val="18"/>
                <w:szCs w:val="18"/>
                <w:lang w:eastAsia="el-GR"/>
              </w:rPr>
              <w:t>1</w:t>
            </w:r>
          </w:p>
        </w:tc>
        <w:tc>
          <w:tcPr>
            <w:tcW w:w="863" w:type="dxa"/>
            <w:tcBorders>
              <w:top w:val="nil"/>
              <w:left w:val="nil"/>
              <w:bottom w:val="single" w:sz="4" w:space="0" w:color="auto"/>
              <w:right w:val="nil"/>
            </w:tcBorders>
            <w:shd w:val="clear" w:color="auto" w:fill="auto"/>
            <w:noWrap/>
            <w:vAlign w:val="center"/>
            <w:hideMark/>
          </w:tcPr>
          <w:p w14:paraId="62C8BE48" w14:textId="77777777" w:rsidR="00646BE3" w:rsidRPr="003B5136" w:rsidRDefault="00646BE3" w:rsidP="003F4366">
            <w:pPr>
              <w:spacing w:after="0" w:line="240" w:lineRule="auto"/>
              <w:jc w:val="center"/>
              <w:rPr>
                <w:rFonts w:ascii="Calibri Light" w:eastAsia="Times New Roman" w:hAnsi="Calibri Light" w:cs="Calibri Light"/>
                <w:color w:val="595959"/>
                <w:sz w:val="18"/>
                <w:szCs w:val="18"/>
                <w:lang w:val="en-US" w:eastAsia="el-GR"/>
              </w:rPr>
            </w:pPr>
            <w:r w:rsidRPr="003B5136">
              <w:rPr>
                <w:rFonts w:ascii="Calibri Light" w:eastAsia="Times New Roman" w:hAnsi="Calibri Light" w:cs="Calibri Light"/>
                <w:color w:val="595959"/>
                <w:sz w:val="18"/>
                <w:szCs w:val="18"/>
                <w:lang w:eastAsia="el-GR"/>
              </w:rPr>
              <w:t>20</w:t>
            </w:r>
            <w:r w:rsidRPr="003B5136">
              <w:rPr>
                <w:rFonts w:ascii="Calibri Light" w:eastAsia="Times New Roman" w:hAnsi="Calibri Light" w:cs="Calibri Light"/>
                <w:color w:val="595959"/>
                <w:sz w:val="18"/>
                <w:szCs w:val="18"/>
                <w:lang w:val="en-US" w:eastAsia="el-GR"/>
              </w:rPr>
              <w:t>2</w:t>
            </w:r>
            <w:r>
              <w:rPr>
                <w:rFonts w:ascii="Calibri Light" w:eastAsia="Times New Roman" w:hAnsi="Calibri Light" w:cs="Calibri Light"/>
                <w:color w:val="595959"/>
                <w:sz w:val="18"/>
                <w:szCs w:val="18"/>
                <w:lang w:eastAsia="el-GR"/>
              </w:rPr>
              <w:t>1</w:t>
            </w:r>
            <w:r w:rsidRPr="003B5136">
              <w:rPr>
                <w:rFonts w:ascii="Calibri Light" w:eastAsia="Times New Roman" w:hAnsi="Calibri Light" w:cs="Calibri Light"/>
                <w:color w:val="595959"/>
                <w:sz w:val="18"/>
                <w:szCs w:val="18"/>
                <w:lang w:eastAsia="el-GR"/>
              </w:rPr>
              <w:t>-Q</w:t>
            </w:r>
            <w:r w:rsidRPr="003B5136">
              <w:rPr>
                <w:rFonts w:ascii="Calibri Light" w:eastAsia="Times New Roman" w:hAnsi="Calibri Light" w:cs="Calibri Light"/>
                <w:color w:val="595959"/>
                <w:sz w:val="18"/>
                <w:szCs w:val="18"/>
                <w:lang w:val="en-US" w:eastAsia="el-GR"/>
              </w:rPr>
              <w:t>1</w:t>
            </w:r>
          </w:p>
        </w:tc>
        <w:tc>
          <w:tcPr>
            <w:tcW w:w="862" w:type="dxa"/>
            <w:tcBorders>
              <w:top w:val="nil"/>
              <w:left w:val="nil"/>
              <w:bottom w:val="single" w:sz="4" w:space="0" w:color="auto"/>
              <w:right w:val="nil"/>
            </w:tcBorders>
            <w:shd w:val="clear" w:color="auto" w:fill="auto"/>
            <w:noWrap/>
            <w:vAlign w:val="center"/>
            <w:hideMark/>
          </w:tcPr>
          <w:p w14:paraId="4A38BF6D" w14:textId="77777777" w:rsidR="00646BE3" w:rsidRPr="003B5136" w:rsidRDefault="00646BE3" w:rsidP="003F4366">
            <w:pPr>
              <w:spacing w:after="0" w:line="240" w:lineRule="auto"/>
              <w:jc w:val="center"/>
              <w:rPr>
                <w:rFonts w:ascii="Calibri Light" w:eastAsia="Times New Roman" w:hAnsi="Calibri Light" w:cs="Calibri Light"/>
                <w:color w:val="595959"/>
                <w:sz w:val="18"/>
                <w:szCs w:val="18"/>
                <w:lang w:val="en-US" w:eastAsia="el-GR"/>
              </w:rPr>
            </w:pPr>
            <w:r w:rsidRPr="003B5136">
              <w:rPr>
                <w:rFonts w:ascii="Calibri Light" w:eastAsia="Times New Roman" w:hAnsi="Calibri Light" w:cs="Calibri Light"/>
                <w:color w:val="595959"/>
                <w:sz w:val="18"/>
                <w:szCs w:val="18"/>
                <w:lang w:eastAsia="el-GR"/>
              </w:rPr>
              <w:t>20</w:t>
            </w:r>
            <w:r w:rsidRPr="003B5136">
              <w:rPr>
                <w:rFonts w:ascii="Calibri Light" w:eastAsia="Times New Roman" w:hAnsi="Calibri Light" w:cs="Calibri Light"/>
                <w:color w:val="595959"/>
                <w:sz w:val="18"/>
                <w:szCs w:val="18"/>
                <w:lang w:val="en-US" w:eastAsia="el-GR"/>
              </w:rPr>
              <w:t>2</w:t>
            </w:r>
            <w:r>
              <w:rPr>
                <w:rFonts w:ascii="Calibri Light" w:eastAsia="Times New Roman" w:hAnsi="Calibri Light" w:cs="Calibri Light"/>
                <w:color w:val="595959"/>
                <w:sz w:val="18"/>
                <w:szCs w:val="18"/>
                <w:lang w:eastAsia="el-GR"/>
              </w:rPr>
              <w:t>1</w:t>
            </w:r>
            <w:r w:rsidRPr="003B5136">
              <w:rPr>
                <w:rFonts w:ascii="Calibri Light" w:eastAsia="Times New Roman" w:hAnsi="Calibri Light" w:cs="Calibri Light"/>
                <w:color w:val="595959"/>
                <w:sz w:val="18"/>
                <w:szCs w:val="18"/>
                <w:lang w:eastAsia="el-GR"/>
              </w:rPr>
              <w:t>-Q</w:t>
            </w:r>
            <w:r w:rsidRPr="003B5136">
              <w:rPr>
                <w:rFonts w:ascii="Calibri Light" w:eastAsia="Times New Roman" w:hAnsi="Calibri Light" w:cs="Calibri Light"/>
                <w:color w:val="595959"/>
                <w:sz w:val="18"/>
                <w:szCs w:val="18"/>
                <w:lang w:val="en-US" w:eastAsia="el-GR"/>
              </w:rPr>
              <w:t>2</w:t>
            </w:r>
          </w:p>
        </w:tc>
        <w:tc>
          <w:tcPr>
            <w:tcW w:w="863" w:type="dxa"/>
            <w:tcBorders>
              <w:top w:val="nil"/>
              <w:left w:val="nil"/>
              <w:bottom w:val="single" w:sz="4" w:space="0" w:color="auto"/>
              <w:right w:val="nil"/>
            </w:tcBorders>
            <w:vAlign w:val="center"/>
          </w:tcPr>
          <w:p w14:paraId="7E148851" w14:textId="77777777" w:rsidR="00646BE3" w:rsidRPr="003B5136" w:rsidRDefault="00646BE3" w:rsidP="003F4366">
            <w:pPr>
              <w:spacing w:after="0" w:line="240" w:lineRule="auto"/>
              <w:jc w:val="center"/>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20</w:t>
            </w:r>
            <w:r w:rsidRPr="003B5136">
              <w:rPr>
                <w:rFonts w:ascii="Calibri Light" w:eastAsia="Times New Roman" w:hAnsi="Calibri Light" w:cs="Calibri Light"/>
                <w:color w:val="595959"/>
                <w:sz w:val="18"/>
                <w:szCs w:val="18"/>
                <w:lang w:val="en-US" w:eastAsia="el-GR"/>
              </w:rPr>
              <w:t>2</w:t>
            </w:r>
            <w:r>
              <w:rPr>
                <w:rFonts w:ascii="Calibri Light" w:eastAsia="Times New Roman" w:hAnsi="Calibri Light" w:cs="Calibri Light"/>
                <w:color w:val="595959"/>
                <w:sz w:val="18"/>
                <w:szCs w:val="18"/>
                <w:lang w:eastAsia="el-GR"/>
              </w:rPr>
              <w:t>1</w:t>
            </w:r>
            <w:r w:rsidRPr="003B5136">
              <w:rPr>
                <w:rFonts w:ascii="Calibri Light" w:eastAsia="Times New Roman" w:hAnsi="Calibri Light" w:cs="Calibri Light"/>
                <w:color w:val="595959"/>
                <w:sz w:val="18"/>
                <w:szCs w:val="18"/>
                <w:lang w:eastAsia="el-GR"/>
              </w:rPr>
              <w:t>-Q3</w:t>
            </w:r>
          </w:p>
        </w:tc>
        <w:tc>
          <w:tcPr>
            <w:tcW w:w="863" w:type="dxa"/>
            <w:tcBorders>
              <w:top w:val="nil"/>
              <w:left w:val="nil"/>
              <w:bottom w:val="single" w:sz="4" w:space="0" w:color="auto"/>
              <w:right w:val="nil"/>
            </w:tcBorders>
            <w:vAlign w:val="center"/>
          </w:tcPr>
          <w:p w14:paraId="74BE95D1" w14:textId="77777777" w:rsidR="00646BE3" w:rsidRPr="003B5136" w:rsidRDefault="00646BE3" w:rsidP="003F4366">
            <w:pPr>
              <w:spacing w:after="0" w:line="240" w:lineRule="auto"/>
              <w:jc w:val="center"/>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20</w:t>
            </w:r>
            <w:r w:rsidRPr="003B5136">
              <w:rPr>
                <w:rFonts w:ascii="Calibri Light" w:eastAsia="Times New Roman" w:hAnsi="Calibri Light" w:cs="Calibri Light"/>
                <w:color w:val="595959"/>
                <w:sz w:val="18"/>
                <w:szCs w:val="18"/>
                <w:lang w:val="en-US" w:eastAsia="el-GR"/>
              </w:rPr>
              <w:t>2</w:t>
            </w:r>
            <w:r>
              <w:rPr>
                <w:rFonts w:ascii="Calibri Light" w:eastAsia="Times New Roman" w:hAnsi="Calibri Light" w:cs="Calibri Light"/>
                <w:color w:val="595959"/>
                <w:sz w:val="18"/>
                <w:szCs w:val="18"/>
                <w:lang w:eastAsia="el-GR"/>
              </w:rPr>
              <w:t>1</w:t>
            </w:r>
            <w:r w:rsidRPr="003B5136">
              <w:rPr>
                <w:rFonts w:ascii="Calibri Light" w:eastAsia="Times New Roman" w:hAnsi="Calibri Light" w:cs="Calibri Light"/>
                <w:color w:val="595959"/>
                <w:sz w:val="18"/>
                <w:szCs w:val="18"/>
                <w:lang w:eastAsia="el-GR"/>
              </w:rPr>
              <w:t>-Q4</w:t>
            </w:r>
          </w:p>
        </w:tc>
      </w:tr>
      <w:tr w:rsidR="00646BE3" w:rsidRPr="003B5136" w14:paraId="6C3D478B" w14:textId="77777777" w:rsidTr="003F4366">
        <w:trPr>
          <w:trHeight w:val="300"/>
          <w:jc w:val="center"/>
        </w:trPr>
        <w:tc>
          <w:tcPr>
            <w:tcW w:w="1276" w:type="dxa"/>
            <w:vMerge w:val="restart"/>
            <w:tcBorders>
              <w:top w:val="nil"/>
              <w:left w:val="nil"/>
              <w:bottom w:val="nil"/>
              <w:right w:val="nil"/>
            </w:tcBorders>
            <w:shd w:val="clear" w:color="auto" w:fill="auto"/>
            <w:vAlign w:val="center"/>
            <w:hideMark/>
          </w:tcPr>
          <w:p w14:paraId="14102C5D"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 xml:space="preserve">Ιδιωτική Κατανάλωση </w:t>
            </w:r>
          </w:p>
        </w:tc>
        <w:tc>
          <w:tcPr>
            <w:tcW w:w="992" w:type="dxa"/>
            <w:tcBorders>
              <w:top w:val="nil"/>
              <w:left w:val="nil"/>
              <w:bottom w:val="nil"/>
              <w:right w:val="nil"/>
            </w:tcBorders>
            <w:shd w:val="clear" w:color="auto" w:fill="auto"/>
            <w:noWrap/>
            <w:vAlign w:val="center"/>
            <w:hideMark/>
          </w:tcPr>
          <w:p w14:paraId="4B82A315"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ετήσια</w:t>
            </w:r>
          </w:p>
        </w:tc>
        <w:tc>
          <w:tcPr>
            <w:tcW w:w="862" w:type="dxa"/>
            <w:tcBorders>
              <w:top w:val="nil"/>
              <w:left w:val="nil"/>
              <w:bottom w:val="nil"/>
              <w:right w:val="nil"/>
            </w:tcBorders>
            <w:shd w:val="clear" w:color="auto" w:fill="auto"/>
            <w:noWrap/>
            <w:vAlign w:val="center"/>
          </w:tcPr>
          <w:p w14:paraId="6DB7386A"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1,8</w:t>
            </w:r>
          </w:p>
        </w:tc>
        <w:tc>
          <w:tcPr>
            <w:tcW w:w="863" w:type="dxa"/>
            <w:tcBorders>
              <w:top w:val="nil"/>
              <w:left w:val="nil"/>
              <w:bottom w:val="nil"/>
              <w:right w:val="nil"/>
            </w:tcBorders>
            <w:shd w:val="clear" w:color="auto" w:fill="auto"/>
            <w:noWrap/>
            <w:vAlign w:val="center"/>
          </w:tcPr>
          <w:p w14:paraId="28FC27E8"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-8,0</w:t>
            </w:r>
          </w:p>
        </w:tc>
        <w:tc>
          <w:tcPr>
            <w:tcW w:w="862" w:type="dxa"/>
            <w:tcBorders>
              <w:top w:val="nil"/>
              <w:left w:val="nil"/>
              <w:bottom w:val="nil"/>
              <w:right w:val="nil"/>
            </w:tcBorders>
            <w:shd w:val="clear" w:color="auto" w:fill="auto"/>
            <w:noWrap/>
            <w:vAlign w:val="center"/>
          </w:tcPr>
          <w:p w14:paraId="6C93AA3F"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7,8</w:t>
            </w:r>
          </w:p>
        </w:tc>
        <w:tc>
          <w:tcPr>
            <w:tcW w:w="863" w:type="dxa"/>
            <w:tcBorders>
              <w:top w:val="nil"/>
              <w:left w:val="nil"/>
              <w:bottom w:val="nil"/>
              <w:right w:val="nil"/>
            </w:tcBorders>
            <w:shd w:val="clear" w:color="auto" w:fill="auto"/>
            <w:noWrap/>
            <w:vAlign w:val="center"/>
          </w:tcPr>
          <w:p w14:paraId="77F73136"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-4,5</w:t>
            </w:r>
          </w:p>
        </w:tc>
        <w:tc>
          <w:tcPr>
            <w:tcW w:w="862" w:type="dxa"/>
            <w:tcBorders>
              <w:top w:val="nil"/>
              <w:left w:val="nil"/>
              <w:bottom w:val="nil"/>
              <w:right w:val="nil"/>
            </w:tcBorders>
            <w:shd w:val="clear" w:color="auto" w:fill="auto"/>
            <w:noWrap/>
            <w:vAlign w:val="center"/>
          </w:tcPr>
          <w:p w14:paraId="6127EE69"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14,6</w:t>
            </w:r>
          </w:p>
        </w:tc>
        <w:tc>
          <w:tcPr>
            <w:tcW w:w="863" w:type="dxa"/>
            <w:tcBorders>
              <w:top w:val="nil"/>
              <w:left w:val="nil"/>
              <w:bottom w:val="nil"/>
              <w:right w:val="nil"/>
            </w:tcBorders>
            <w:shd w:val="clear" w:color="auto" w:fill="auto"/>
            <w:vAlign w:val="center"/>
          </w:tcPr>
          <w:p w14:paraId="53F20D7B"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10,8</w:t>
            </w:r>
          </w:p>
        </w:tc>
        <w:tc>
          <w:tcPr>
            <w:tcW w:w="863" w:type="dxa"/>
            <w:tcBorders>
              <w:top w:val="nil"/>
              <w:left w:val="nil"/>
              <w:bottom w:val="nil"/>
              <w:right w:val="nil"/>
            </w:tcBorders>
            <w:shd w:val="clear" w:color="auto" w:fill="auto"/>
            <w:vAlign w:val="center"/>
          </w:tcPr>
          <w:p w14:paraId="07FC11A3"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9,7</w:t>
            </w:r>
          </w:p>
        </w:tc>
      </w:tr>
      <w:tr w:rsidR="00646BE3" w:rsidRPr="003B5136" w14:paraId="0C2CA8EF" w14:textId="77777777" w:rsidTr="003F4366">
        <w:trPr>
          <w:trHeight w:val="300"/>
          <w:jc w:val="center"/>
        </w:trPr>
        <w:tc>
          <w:tcPr>
            <w:tcW w:w="1276" w:type="dxa"/>
            <w:vMerge/>
            <w:tcBorders>
              <w:top w:val="nil"/>
              <w:left w:val="nil"/>
              <w:bottom w:val="nil"/>
              <w:right w:val="nil"/>
            </w:tcBorders>
            <w:vAlign w:val="center"/>
            <w:hideMark/>
          </w:tcPr>
          <w:p w14:paraId="05EE9B95"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992" w:type="dxa"/>
            <w:tcBorders>
              <w:top w:val="nil"/>
              <w:left w:val="nil"/>
              <w:bottom w:val="nil"/>
              <w:right w:val="nil"/>
            </w:tcBorders>
            <w:shd w:val="clear" w:color="auto" w:fill="auto"/>
            <w:noWrap/>
            <w:vAlign w:val="center"/>
            <w:hideMark/>
          </w:tcPr>
          <w:p w14:paraId="2DD34ED0"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τριμηνιαία</w:t>
            </w:r>
          </w:p>
        </w:tc>
        <w:tc>
          <w:tcPr>
            <w:tcW w:w="862" w:type="dxa"/>
            <w:tcBorders>
              <w:top w:val="nil"/>
              <w:left w:val="nil"/>
              <w:bottom w:val="nil"/>
              <w:right w:val="nil"/>
            </w:tcBorders>
            <w:shd w:val="clear" w:color="auto" w:fill="auto"/>
            <w:noWrap/>
            <w:vAlign w:val="center"/>
          </w:tcPr>
          <w:p w14:paraId="1E83576F"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2FBDF6F2"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25B76F8B"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093EE1DE"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2,9</w:t>
            </w:r>
          </w:p>
        </w:tc>
        <w:tc>
          <w:tcPr>
            <w:tcW w:w="862" w:type="dxa"/>
            <w:tcBorders>
              <w:top w:val="nil"/>
              <w:left w:val="nil"/>
              <w:bottom w:val="nil"/>
              <w:right w:val="nil"/>
            </w:tcBorders>
            <w:shd w:val="clear" w:color="auto" w:fill="auto"/>
            <w:noWrap/>
            <w:vAlign w:val="center"/>
          </w:tcPr>
          <w:p w14:paraId="4C6BC83B"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2,5</w:t>
            </w:r>
          </w:p>
        </w:tc>
        <w:tc>
          <w:tcPr>
            <w:tcW w:w="863" w:type="dxa"/>
            <w:tcBorders>
              <w:top w:val="nil"/>
              <w:left w:val="nil"/>
              <w:bottom w:val="nil"/>
              <w:right w:val="nil"/>
            </w:tcBorders>
            <w:shd w:val="clear" w:color="auto" w:fill="auto"/>
            <w:vAlign w:val="center"/>
          </w:tcPr>
          <w:p w14:paraId="5DED5D51"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2,0</w:t>
            </w:r>
          </w:p>
        </w:tc>
        <w:tc>
          <w:tcPr>
            <w:tcW w:w="863" w:type="dxa"/>
            <w:tcBorders>
              <w:top w:val="nil"/>
              <w:left w:val="nil"/>
              <w:bottom w:val="nil"/>
              <w:right w:val="nil"/>
            </w:tcBorders>
            <w:shd w:val="clear" w:color="auto" w:fill="auto"/>
            <w:vAlign w:val="center"/>
          </w:tcPr>
          <w:p w14:paraId="7621DD1D"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2,0</w:t>
            </w:r>
          </w:p>
        </w:tc>
      </w:tr>
      <w:tr w:rsidR="00646BE3" w:rsidRPr="003B5136" w14:paraId="713E31DA" w14:textId="77777777" w:rsidTr="003F4366">
        <w:trPr>
          <w:trHeight w:val="80"/>
          <w:jc w:val="center"/>
        </w:trPr>
        <w:tc>
          <w:tcPr>
            <w:tcW w:w="1276" w:type="dxa"/>
            <w:tcBorders>
              <w:top w:val="nil"/>
              <w:left w:val="nil"/>
              <w:bottom w:val="nil"/>
              <w:right w:val="nil"/>
            </w:tcBorders>
            <w:shd w:val="clear" w:color="auto" w:fill="auto"/>
            <w:vAlign w:val="center"/>
            <w:hideMark/>
          </w:tcPr>
          <w:p w14:paraId="285994FE"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992" w:type="dxa"/>
            <w:tcBorders>
              <w:top w:val="nil"/>
              <w:left w:val="nil"/>
              <w:bottom w:val="nil"/>
              <w:right w:val="nil"/>
            </w:tcBorders>
            <w:shd w:val="clear" w:color="auto" w:fill="auto"/>
            <w:noWrap/>
            <w:vAlign w:val="center"/>
            <w:hideMark/>
          </w:tcPr>
          <w:p w14:paraId="0FB5A8A5"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862" w:type="dxa"/>
            <w:tcBorders>
              <w:top w:val="nil"/>
              <w:left w:val="nil"/>
              <w:bottom w:val="nil"/>
              <w:right w:val="nil"/>
            </w:tcBorders>
            <w:shd w:val="clear" w:color="auto" w:fill="auto"/>
            <w:noWrap/>
            <w:vAlign w:val="center"/>
          </w:tcPr>
          <w:p w14:paraId="471389A6"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539478A0"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01E46B5E"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32F7B570"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63F85DAF"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vAlign w:val="center"/>
          </w:tcPr>
          <w:p w14:paraId="4A2EE4CE"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vAlign w:val="center"/>
          </w:tcPr>
          <w:p w14:paraId="040C91B3"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r>
      <w:tr w:rsidR="00646BE3" w:rsidRPr="003B5136" w14:paraId="1247E48A" w14:textId="77777777" w:rsidTr="003F4366">
        <w:trPr>
          <w:trHeight w:val="300"/>
          <w:jc w:val="center"/>
        </w:trPr>
        <w:tc>
          <w:tcPr>
            <w:tcW w:w="1276" w:type="dxa"/>
            <w:vMerge w:val="restart"/>
            <w:tcBorders>
              <w:top w:val="nil"/>
              <w:left w:val="nil"/>
              <w:bottom w:val="nil"/>
              <w:right w:val="nil"/>
            </w:tcBorders>
            <w:shd w:val="clear" w:color="auto" w:fill="auto"/>
            <w:vAlign w:val="center"/>
            <w:hideMark/>
          </w:tcPr>
          <w:p w14:paraId="7A0B7061"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Δημόσια Κατανάλωση</w:t>
            </w:r>
          </w:p>
        </w:tc>
        <w:tc>
          <w:tcPr>
            <w:tcW w:w="992" w:type="dxa"/>
            <w:tcBorders>
              <w:top w:val="nil"/>
              <w:left w:val="nil"/>
              <w:bottom w:val="nil"/>
              <w:right w:val="nil"/>
            </w:tcBorders>
            <w:shd w:val="clear" w:color="auto" w:fill="auto"/>
            <w:noWrap/>
            <w:vAlign w:val="center"/>
            <w:hideMark/>
          </w:tcPr>
          <w:p w14:paraId="23E32091"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ετήσια</w:t>
            </w:r>
          </w:p>
        </w:tc>
        <w:tc>
          <w:tcPr>
            <w:tcW w:w="862" w:type="dxa"/>
            <w:tcBorders>
              <w:top w:val="nil"/>
              <w:left w:val="nil"/>
              <w:bottom w:val="nil"/>
              <w:right w:val="nil"/>
            </w:tcBorders>
            <w:shd w:val="clear" w:color="auto" w:fill="auto"/>
            <w:noWrap/>
            <w:vAlign w:val="center"/>
          </w:tcPr>
          <w:p w14:paraId="5B6520BB"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1,7</w:t>
            </w:r>
          </w:p>
        </w:tc>
        <w:tc>
          <w:tcPr>
            <w:tcW w:w="863" w:type="dxa"/>
            <w:tcBorders>
              <w:top w:val="nil"/>
              <w:left w:val="nil"/>
              <w:bottom w:val="nil"/>
              <w:right w:val="nil"/>
            </w:tcBorders>
            <w:shd w:val="clear" w:color="auto" w:fill="auto"/>
            <w:noWrap/>
            <w:vAlign w:val="center"/>
          </w:tcPr>
          <w:p w14:paraId="51A59FC4"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2,6</w:t>
            </w:r>
          </w:p>
        </w:tc>
        <w:tc>
          <w:tcPr>
            <w:tcW w:w="862" w:type="dxa"/>
            <w:tcBorders>
              <w:top w:val="nil"/>
              <w:left w:val="nil"/>
              <w:bottom w:val="nil"/>
              <w:right w:val="nil"/>
            </w:tcBorders>
            <w:shd w:val="clear" w:color="auto" w:fill="auto"/>
            <w:noWrap/>
            <w:vAlign w:val="center"/>
          </w:tcPr>
          <w:p w14:paraId="59EF0961"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3,7</w:t>
            </w:r>
          </w:p>
        </w:tc>
        <w:tc>
          <w:tcPr>
            <w:tcW w:w="863" w:type="dxa"/>
            <w:tcBorders>
              <w:top w:val="nil"/>
              <w:left w:val="nil"/>
              <w:bottom w:val="nil"/>
              <w:right w:val="nil"/>
            </w:tcBorders>
            <w:shd w:val="clear" w:color="auto" w:fill="auto"/>
            <w:noWrap/>
            <w:vAlign w:val="center"/>
          </w:tcPr>
          <w:p w14:paraId="4247ACA6"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5,0</w:t>
            </w:r>
          </w:p>
        </w:tc>
        <w:tc>
          <w:tcPr>
            <w:tcW w:w="862" w:type="dxa"/>
            <w:tcBorders>
              <w:top w:val="nil"/>
              <w:left w:val="nil"/>
              <w:bottom w:val="nil"/>
              <w:right w:val="nil"/>
            </w:tcBorders>
            <w:shd w:val="clear" w:color="auto" w:fill="auto"/>
            <w:noWrap/>
            <w:vAlign w:val="center"/>
          </w:tcPr>
          <w:p w14:paraId="52B7310C"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5,9</w:t>
            </w:r>
          </w:p>
        </w:tc>
        <w:tc>
          <w:tcPr>
            <w:tcW w:w="863" w:type="dxa"/>
            <w:tcBorders>
              <w:top w:val="nil"/>
              <w:left w:val="nil"/>
              <w:bottom w:val="nil"/>
              <w:right w:val="nil"/>
            </w:tcBorders>
            <w:shd w:val="clear" w:color="auto" w:fill="auto"/>
            <w:vAlign w:val="center"/>
          </w:tcPr>
          <w:p w14:paraId="58E183E8"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5,6</w:t>
            </w:r>
          </w:p>
        </w:tc>
        <w:tc>
          <w:tcPr>
            <w:tcW w:w="863" w:type="dxa"/>
            <w:tcBorders>
              <w:top w:val="nil"/>
              <w:left w:val="nil"/>
              <w:bottom w:val="nil"/>
              <w:right w:val="nil"/>
            </w:tcBorders>
            <w:shd w:val="clear" w:color="auto" w:fill="auto"/>
            <w:vAlign w:val="center"/>
          </w:tcPr>
          <w:p w14:paraId="5E8E405C"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-0,8</w:t>
            </w:r>
          </w:p>
        </w:tc>
      </w:tr>
      <w:tr w:rsidR="00646BE3" w:rsidRPr="003B5136" w14:paraId="193FFD4C" w14:textId="77777777" w:rsidTr="003F4366">
        <w:trPr>
          <w:trHeight w:val="300"/>
          <w:jc w:val="center"/>
        </w:trPr>
        <w:tc>
          <w:tcPr>
            <w:tcW w:w="1276" w:type="dxa"/>
            <w:vMerge/>
            <w:tcBorders>
              <w:top w:val="nil"/>
              <w:left w:val="nil"/>
              <w:bottom w:val="nil"/>
              <w:right w:val="nil"/>
            </w:tcBorders>
            <w:vAlign w:val="center"/>
            <w:hideMark/>
          </w:tcPr>
          <w:p w14:paraId="6B1730D0"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992" w:type="dxa"/>
            <w:tcBorders>
              <w:top w:val="nil"/>
              <w:left w:val="nil"/>
              <w:bottom w:val="nil"/>
              <w:right w:val="nil"/>
            </w:tcBorders>
            <w:shd w:val="clear" w:color="auto" w:fill="auto"/>
            <w:noWrap/>
            <w:vAlign w:val="center"/>
            <w:hideMark/>
          </w:tcPr>
          <w:p w14:paraId="73B87B9E"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τριμηνιαία</w:t>
            </w:r>
          </w:p>
        </w:tc>
        <w:tc>
          <w:tcPr>
            <w:tcW w:w="862" w:type="dxa"/>
            <w:tcBorders>
              <w:top w:val="nil"/>
              <w:left w:val="nil"/>
              <w:bottom w:val="nil"/>
              <w:right w:val="nil"/>
            </w:tcBorders>
            <w:shd w:val="clear" w:color="auto" w:fill="auto"/>
            <w:noWrap/>
            <w:vAlign w:val="center"/>
          </w:tcPr>
          <w:p w14:paraId="076B5782"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3C08DA7D"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3AB2B318"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748D76B5"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0,2</w:t>
            </w:r>
          </w:p>
        </w:tc>
        <w:tc>
          <w:tcPr>
            <w:tcW w:w="862" w:type="dxa"/>
            <w:tcBorders>
              <w:top w:val="nil"/>
              <w:left w:val="nil"/>
              <w:bottom w:val="nil"/>
              <w:right w:val="nil"/>
            </w:tcBorders>
            <w:shd w:val="clear" w:color="auto" w:fill="auto"/>
            <w:noWrap/>
            <w:vAlign w:val="center"/>
          </w:tcPr>
          <w:p w14:paraId="720FF988"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1,9</w:t>
            </w:r>
          </w:p>
        </w:tc>
        <w:tc>
          <w:tcPr>
            <w:tcW w:w="863" w:type="dxa"/>
            <w:tcBorders>
              <w:top w:val="nil"/>
              <w:left w:val="nil"/>
              <w:bottom w:val="nil"/>
              <w:right w:val="nil"/>
            </w:tcBorders>
            <w:shd w:val="clear" w:color="auto" w:fill="auto"/>
            <w:vAlign w:val="center"/>
          </w:tcPr>
          <w:p w14:paraId="69E4D94E"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-0,4</w:t>
            </w:r>
          </w:p>
        </w:tc>
        <w:tc>
          <w:tcPr>
            <w:tcW w:w="863" w:type="dxa"/>
            <w:tcBorders>
              <w:top w:val="nil"/>
              <w:left w:val="nil"/>
              <w:bottom w:val="nil"/>
              <w:right w:val="nil"/>
            </w:tcBorders>
            <w:shd w:val="clear" w:color="auto" w:fill="auto"/>
            <w:vAlign w:val="center"/>
          </w:tcPr>
          <w:p w14:paraId="0B716BC4"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-2,3</w:t>
            </w:r>
          </w:p>
        </w:tc>
      </w:tr>
      <w:tr w:rsidR="00646BE3" w:rsidRPr="003B5136" w14:paraId="07AC7929" w14:textId="77777777" w:rsidTr="003F4366">
        <w:trPr>
          <w:trHeight w:val="95"/>
          <w:jc w:val="center"/>
        </w:trPr>
        <w:tc>
          <w:tcPr>
            <w:tcW w:w="1276" w:type="dxa"/>
            <w:tcBorders>
              <w:top w:val="nil"/>
              <w:left w:val="nil"/>
              <w:bottom w:val="nil"/>
              <w:right w:val="nil"/>
            </w:tcBorders>
            <w:shd w:val="clear" w:color="auto" w:fill="auto"/>
            <w:vAlign w:val="center"/>
            <w:hideMark/>
          </w:tcPr>
          <w:p w14:paraId="46E4FDD6"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992" w:type="dxa"/>
            <w:tcBorders>
              <w:top w:val="nil"/>
              <w:left w:val="nil"/>
              <w:bottom w:val="nil"/>
              <w:right w:val="nil"/>
            </w:tcBorders>
            <w:shd w:val="clear" w:color="auto" w:fill="auto"/>
            <w:noWrap/>
            <w:vAlign w:val="center"/>
            <w:hideMark/>
          </w:tcPr>
          <w:p w14:paraId="59EAE18B"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862" w:type="dxa"/>
            <w:tcBorders>
              <w:top w:val="nil"/>
              <w:left w:val="nil"/>
              <w:bottom w:val="nil"/>
              <w:right w:val="nil"/>
            </w:tcBorders>
            <w:shd w:val="clear" w:color="auto" w:fill="auto"/>
            <w:noWrap/>
            <w:vAlign w:val="center"/>
          </w:tcPr>
          <w:p w14:paraId="22DB736E"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57E805F2"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7B38FD96"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54655A2D"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4F4165C2"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vAlign w:val="center"/>
          </w:tcPr>
          <w:p w14:paraId="1AE9B585"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vAlign w:val="center"/>
          </w:tcPr>
          <w:p w14:paraId="12E57454"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r>
      <w:tr w:rsidR="00646BE3" w:rsidRPr="003B5136" w14:paraId="7696A9D9" w14:textId="77777777" w:rsidTr="003F4366">
        <w:trPr>
          <w:trHeight w:val="300"/>
          <w:jc w:val="center"/>
        </w:trPr>
        <w:tc>
          <w:tcPr>
            <w:tcW w:w="1276" w:type="dxa"/>
            <w:vMerge w:val="restart"/>
            <w:tcBorders>
              <w:top w:val="nil"/>
              <w:left w:val="nil"/>
              <w:bottom w:val="nil"/>
              <w:right w:val="nil"/>
            </w:tcBorders>
            <w:shd w:val="clear" w:color="auto" w:fill="auto"/>
            <w:vAlign w:val="center"/>
            <w:hideMark/>
          </w:tcPr>
          <w:p w14:paraId="7EB0C7AC"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Ακαθάριστος σχηματισμός  παγίου κεφαλαίου</w:t>
            </w:r>
          </w:p>
        </w:tc>
        <w:tc>
          <w:tcPr>
            <w:tcW w:w="992" w:type="dxa"/>
            <w:tcBorders>
              <w:top w:val="nil"/>
              <w:left w:val="nil"/>
              <w:bottom w:val="nil"/>
              <w:right w:val="nil"/>
            </w:tcBorders>
            <w:shd w:val="clear" w:color="auto" w:fill="auto"/>
            <w:noWrap/>
            <w:vAlign w:val="center"/>
            <w:hideMark/>
          </w:tcPr>
          <w:p w14:paraId="5EE91103"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Ετήσια</w:t>
            </w:r>
          </w:p>
        </w:tc>
        <w:tc>
          <w:tcPr>
            <w:tcW w:w="862" w:type="dxa"/>
            <w:tcBorders>
              <w:top w:val="nil"/>
              <w:left w:val="nil"/>
              <w:bottom w:val="nil"/>
              <w:right w:val="nil"/>
            </w:tcBorders>
            <w:shd w:val="clear" w:color="auto" w:fill="auto"/>
            <w:noWrap/>
            <w:vAlign w:val="center"/>
          </w:tcPr>
          <w:p w14:paraId="2E3E7FED"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-3,3</w:t>
            </w:r>
          </w:p>
        </w:tc>
        <w:tc>
          <w:tcPr>
            <w:tcW w:w="863" w:type="dxa"/>
            <w:tcBorders>
              <w:top w:val="nil"/>
              <w:left w:val="nil"/>
              <w:bottom w:val="nil"/>
              <w:right w:val="nil"/>
            </w:tcBorders>
            <w:shd w:val="clear" w:color="auto" w:fill="auto"/>
            <w:noWrap/>
            <w:vAlign w:val="center"/>
          </w:tcPr>
          <w:p w14:paraId="2EBE66CA"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-0,3</w:t>
            </w:r>
          </w:p>
        </w:tc>
        <w:tc>
          <w:tcPr>
            <w:tcW w:w="862" w:type="dxa"/>
            <w:tcBorders>
              <w:top w:val="nil"/>
              <w:left w:val="nil"/>
              <w:bottom w:val="nil"/>
              <w:right w:val="nil"/>
            </w:tcBorders>
            <w:shd w:val="clear" w:color="auto" w:fill="auto"/>
            <w:noWrap/>
            <w:vAlign w:val="center"/>
          </w:tcPr>
          <w:p w14:paraId="597A15FE"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19,6</w:t>
            </w:r>
          </w:p>
        </w:tc>
        <w:tc>
          <w:tcPr>
            <w:tcW w:w="863" w:type="dxa"/>
            <w:tcBorders>
              <w:top w:val="nil"/>
              <w:left w:val="nil"/>
              <w:bottom w:val="nil"/>
              <w:right w:val="nil"/>
            </w:tcBorders>
            <w:shd w:val="clear" w:color="auto" w:fill="auto"/>
            <w:noWrap/>
            <w:vAlign w:val="center"/>
          </w:tcPr>
          <w:p w14:paraId="3BAA9D78"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14,6</w:t>
            </w:r>
          </w:p>
        </w:tc>
        <w:tc>
          <w:tcPr>
            <w:tcW w:w="862" w:type="dxa"/>
            <w:tcBorders>
              <w:top w:val="nil"/>
              <w:left w:val="nil"/>
              <w:bottom w:val="nil"/>
              <w:right w:val="nil"/>
            </w:tcBorders>
            <w:shd w:val="clear" w:color="auto" w:fill="auto"/>
            <w:noWrap/>
            <w:vAlign w:val="center"/>
          </w:tcPr>
          <w:p w14:paraId="1B67E986"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19,3</w:t>
            </w:r>
          </w:p>
        </w:tc>
        <w:tc>
          <w:tcPr>
            <w:tcW w:w="863" w:type="dxa"/>
            <w:tcBorders>
              <w:top w:val="nil"/>
              <w:left w:val="nil"/>
              <w:bottom w:val="nil"/>
              <w:right w:val="nil"/>
            </w:tcBorders>
            <w:shd w:val="clear" w:color="auto" w:fill="auto"/>
            <w:vAlign w:val="center"/>
          </w:tcPr>
          <w:p w14:paraId="7C7686DA"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19,3</w:t>
            </w:r>
          </w:p>
        </w:tc>
        <w:tc>
          <w:tcPr>
            <w:tcW w:w="863" w:type="dxa"/>
            <w:tcBorders>
              <w:top w:val="nil"/>
              <w:left w:val="nil"/>
              <w:bottom w:val="nil"/>
              <w:right w:val="nil"/>
            </w:tcBorders>
            <w:shd w:val="clear" w:color="auto" w:fill="auto"/>
            <w:vAlign w:val="center"/>
          </w:tcPr>
          <w:p w14:paraId="6A205CD8"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24,1</w:t>
            </w:r>
          </w:p>
        </w:tc>
      </w:tr>
      <w:tr w:rsidR="00646BE3" w:rsidRPr="003B5136" w14:paraId="2389B7FD" w14:textId="77777777" w:rsidTr="003F4366">
        <w:trPr>
          <w:trHeight w:val="300"/>
          <w:jc w:val="center"/>
        </w:trPr>
        <w:tc>
          <w:tcPr>
            <w:tcW w:w="1276" w:type="dxa"/>
            <w:vMerge/>
            <w:tcBorders>
              <w:top w:val="nil"/>
              <w:left w:val="nil"/>
              <w:bottom w:val="nil"/>
              <w:right w:val="nil"/>
            </w:tcBorders>
            <w:vAlign w:val="center"/>
            <w:hideMark/>
          </w:tcPr>
          <w:p w14:paraId="0CFEF2CE"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992" w:type="dxa"/>
            <w:tcBorders>
              <w:top w:val="nil"/>
              <w:left w:val="nil"/>
              <w:bottom w:val="nil"/>
              <w:right w:val="nil"/>
            </w:tcBorders>
            <w:shd w:val="clear" w:color="auto" w:fill="auto"/>
            <w:noWrap/>
            <w:vAlign w:val="center"/>
            <w:hideMark/>
          </w:tcPr>
          <w:p w14:paraId="2BB57DD0"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τριμηνιαία</w:t>
            </w:r>
          </w:p>
        </w:tc>
        <w:tc>
          <w:tcPr>
            <w:tcW w:w="862" w:type="dxa"/>
            <w:tcBorders>
              <w:top w:val="nil"/>
              <w:left w:val="nil"/>
              <w:bottom w:val="nil"/>
              <w:right w:val="nil"/>
            </w:tcBorders>
            <w:shd w:val="clear" w:color="auto" w:fill="auto"/>
            <w:noWrap/>
            <w:vAlign w:val="center"/>
          </w:tcPr>
          <w:p w14:paraId="6CA85825"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114A7D81"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71BD6D4A"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0B16AF44"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15,1</w:t>
            </w:r>
          </w:p>
        </w:tc>
        <w:tc>
          <w:tcPr>
            <w:tcW w:w="862" w:type="dxa"/>
            <w:tcBorders>
              <w:top w:val="nil"/>
              <w:left w:val="nil"/>
              <w:bottom w:val="nil"/>
              <w:right w:val="nil"/>
            </w:tcBorders>
            <w:shd w:val="clear" w:color="auto" w:fill="auto"/>
            <w:noWrap/>
            <w:vAlign w:val="center"/>
          </w:tcPr>
          <w:p w14:paraId="004E6F17"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1,8</w:t>
            </w:r>
          </w:p>
        </w:tc>
        <w:tc>
          <w:tcPr>
            <w:tcW w:w="863" w:type="dxa"/>
            <w:tcBorders>
              <w:top w:val="nil"/>
              <w:left w:val="nil"/>
              <w:bottom w:val="nil"/>
              <w:right w:val="nil"/>
            </w:tcBorders>
            <w:shd w:val="clear" w:color="auto" w:fill="auto"/>
            <w:vAlign w:val="center"/>
          </w:tcPr>
          <w:p w14:paraId="5C087F59"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4,1</w:t>
            </w:r>
          </w:p>
        </w:tc>
        <w:tc>
          <w:tcPr>
            <w:tcW w:w="863" w:type="dxa"/>
            <w:tcBorders>
              <w:top w:val="nil"/>
              <w:left w:val="nil"/>
              <w:bottom w:val="nil"/>
              <w:right w:val="nil"/>
            </w:tcBorders>
            <w:shd w:val="clear" w:color="auto" w:fill="auto"/>
            <w:vAlign w:val="center"/>
          </w:tcPr>
          <w:p w14:paraId="4D0A69CD"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1,8</w:t>
            </w:r>
          </w:p>
        </w:tc>
      </w:tr>
      <w:tr w:rsidR="00646BE3" w:rsidRPr="003B5136" w14:paraId="2793A54B" w14:textId="77777777" w:rsidTr="003F4366">
        <w:trPr>
          <w:trHeight w:val="80"/>
          <w:jc w:val="center"/>
        </w:trPr>
        <w:tc>
          <w:tcPr>
            <w:tcW w:w="1276" w:type="dxa"/>
            <w:tcBorders>
              <w:top w:val="nil"/>
              <w:left w:val="nil"/>
              <w:bottom w:val="nil"/>
              <w:right w:val="nil"/>
            </w:tcBorders>
            <w:shd w:val="clear" w:color="auto" w:fill="auto"/>
            <w:vAlign w:val="center"/>
            <w:hideMark/>
          </w:tcPr>
          <w:p w14:paraId="75642891"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992" w:type="dxa"/>
            <w:tcBorders>
              <w:top w:val="nil"/>
              <w:left w:val="nil"/>
              <w:bottom w:val="nil"/>
              <w:right w:val="nil"/>
            </w:tcBorders>
            <w:shd w:val="clear" w:color="auto" w:fill="auto"/>
            <w:noWrap/>
            <w:vAlign w:val="center"/>
            <w:hideMark/>
          </w:tcPr>
          <w:p w14:paraId="1E7543B4"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862" w:type="dxa"/>
            <w:tcBorders>
              <w:top w:val="nil"/>
              <w:left w:val="nil"/>
              <w:bottom w:val="nil"/>
              <w:right w:val="nil"/>
            </w:tcBorders>
            <w:shd w:val="clear" w:color="auto" w:fill="auto"/>
            <w:noWrap/>
            <w:vAlign w:val="center"/>
          </w:tcPr>
          <w:p w14:paraId="13B32224"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5A317912"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36FE9802"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601A50DA"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6C9CAA03"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vAlign w:val="center"/>
          </w:tcPr>
          <w:p w14:paraId="513327BB"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vAlign w:val="center"/>
          </w:tcPr>
          <w:p w14:paraId="3288077A"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r>
      <w:tr w:rsidR="00646BE3" w:rsidRPr="003B5136" w14:paraId="50DBBA02" w14:textId="77777777" w:rsidTr="003F4366">
        <w:trPr>
          <w:trHeight w:val="300"/>
          <w:jc w:val="center"/>
        </w:trPr>
        <w:tc>
          <w:tcPr>
            <w:tcW w:w="1276" w:type="dxa"/>
            <w:vMerge w:val="restart"/>
            <w:tcBorders>
              <w:top w:val="nil"/>
              <w:left w:val="nil"/>
              <w:bottom w:val="nil"/>
              <w:right w:val="nil"/>
            </w:tcBorders>
            <w:shd w:val="clear" w:color="auto" w:fill="auto"/>
            <w:vAlign w:val="center"/>
            <w:hideMark/>
          </w:tcPr>
          <w:p w14:paraId="6638FD25"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Εξαγωγές αγαθών και υπηρεσιών</w:t>
            </w:r>
          </w:p>
        </w:tc>
        <w:tc>
          <w:tcPr>
            <w:tcW w:w="992" w:type="dxa"/>
            <w:tcBorders>
              <w:top w:val="nil"/>
              <w:left w:val="nil"/>
              <w:bottom w:val="nil"/>
              <w:right w:val="nil"/>
            </w:tcBorders>
            <w:shd w:val="clear" w:color="auto" w:fill="auto"/>
            <w:noWrap/>
            <w:vAlign w:val="center"/>
            <w:hideMark/>
          </w:tcPr>
          <w:p w14:paraId="3354588C"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ετήσια</w:t>
            </w:r>
          </w:p>
        </w:tc>
        <w:tc>
          <w:tcPr>
            <w:tcW w:w="862" w:type="dxa"/>
            <w:tcBorders>
              <w:top w:val="nil"/>
              <w:left w:val="nil"/>
              <w:bottom w:val="nil"/>
              <w:right w:val="nil"/>
            </w:tcBorders>
            <w:shd w:val="clear" w:color="auto" w:fill="auto"/>
            <w:noWrap/>
            <w:vAlign w:val="center"/>
          </w:tcPr>
          <w:p w14:paraId="45D5C01C"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4,9</w:t>
            </w:r>
          </w:p>
        </w:tc>
        <w:tc>
          <w:tcPr>
            <w:tcW w:w="863" w:type="dxa"/>
            <w:tcBorders>
              <w:top w:val="nil"/>
              <w:left w:val="nil"/>
              <w:bottom w:val="nil"/>
              <w:right w:val="nil"/>
            </w:tcBorders>
            <w:shd w:val="clear" w:color="auto" w:fill="auto"/>
            <w:noWrap/>
            <w:vAlign w:val="center"/>
          </w:tcPr>
          <w:p w14:paraId="3437D66D"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-21,5</w:t>
            </w:r>
          </w:p>
        </w:tc>
        <w:tc>
          <w:tcPr>
            <w:tcW w:w="862" w:type="dxa"/>
            <w:tcBorders>
              <w:top w:val="nil"/>
              <w:left w:val="nil"/>
              <w:bottom w:val="nil"/>
              <w:right w:val="nil"/>
            </w:tcBorders>
            <w:shd w:val="clear" w:color="auto" w:fill="auto"/>
            <w:noWrap/>
            <w:vAlign w:val="center"/>
          </w:tcPr>
          <w:p w14:paraId="5D29EEC9"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21,9</w:t>
            </w:r>
          </w:p>
        </w:tc>
        <w:tc>
          <w:tcPr>
            <w:tcW w:w="863" w:type="dxa"/>
            <w:tcBorders>
              <w:top w:val="nil"/>
              <w:left w:val="nil"/>
              <w:bottom w:val="nil"/>
              <w:right w:val="nil"/>
            </w:tcBorders>
            <w:shd w:val="clear" w:color="auto" w:fill="auto"/>
            <w:noWrap/>
            <w:vAlign w:val="center"/>
          </w:tcPr>
          <w:p w14:paraId="2CBA7108"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-2,0</w:t>
            </w:r>
          </w:p>
        </w:tc>
        <w:tc>
          <w:tcPr>
            <w:tcW w:w="862" w:type="dxa"/>
            <w:tcBorders>
              <w:top w:val="nil"/>
              <w:left w:val="nil"/>
              <w:bottom w:val="nil"/>
              <w:right w:val="nil"/>
            </w:tcBorders>
            <w:shd w:val="clear" w:color="auto" w:fill="auto"/>
            <w:noWrap/>
            <w:vAlign w:val="center"/>
          </w:tcPr>
          <w:p w14:paraId="078F1BD9"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25,9</w:t>
            </w:r>
          </w:p>
        </w:tc>
        <w:tc>
          <w:tcPr>
            <w:tcW w:w="863" w:type="dxa"/>
            <w:tcBorders>
              <w:top w:val="nil"/>
              <w:left w:val="nil"/>
              <w:bottom w:val="nil"/>
              <w:right w:val="nil"/>
            </w:tcBorders>
            <w:shd w:val="clear" w:color="auto" w:fill="auto"/>
            <w:vAlign w:val="center"/>
          </w:tcPr>
          <w:p w14:paraId="182C0271"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49,4</w:t>
            </w:r>
          </w:p>
        </w:tc>
        <w:tc>
          <w:tcPr>
            <w:tcW w:w="863" w:type="dxa"/>
            <w:tcBorders>
              <w:top w:val="nil"/>
              <w:left w:val="nil"/>
              <w:bottom w:val="nil"/>
              <w:right w:val="nil"/>
            </w:tcBorders>
            <w:shd w:val="clear" w:color="auto" w:fill="auto"/>
            <w:vAlign w:val="center"/>
          </w:tcPr>
          <w:p w14:paraId="6B665BC6"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24,1</w:t>
            </w:r>
          </w:p>
        </w:tc>
      </w:tr>
      <w:tr w:rsidR="00646BE3" w:rsidRPr="003B5136" w14:paraId="37921AC4" w14:textId="77777777" w:rsidTr="003F4366">
        <w:trPr>
          <w:trHeight w:val="300"/>
          <w:jc w:val="center"/>
        </w:trPr>
        <w:tc>
          <w:tcPr>
            <w:tcW w:w="1276" w:type="dxa"/>
            <w:vMerge/>
            <w:tcBorders>
              <w:top w:val="nil"/>
              <w:left w:val="nil"/>
              <w:bottom w:val="nil"/>
              <w:right w:val="nil"/>
            </w:tcBorders>
            <w:vAlign w:val="center"/>
            <w:hideMark/>
          </w:tcPr>
          <w:p w14:paraId="187BBAF7"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992" w:type="dxa"/>
            <w:tcBorders>
              <w:top w:val="nil"/>
              <w:left w:val="nil"/>
              <w:bottom w:val="nil"/>
              <w:right w:val="nil"/>
            </w:tcBorders>
            <w:shd w:val="clear" w:color="auto" w:fill="auto"/>
            <w:noWrap/>
            <w:vAlign w:val="center"/>
            <w:hideMark/>
          </w:tcPr>
          <w:p w14:paraId="5DC06035"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τριμηνιαία</w:t>
            </w:r>
          </w:p>
        </w:tc>
        <w:tc>
          <w:tcPr>
            <w:tcW w:w="862" w:type="dxa"/>
            <w:tcBorders>
              <w:top w:val="nil"/>
              <w:left w:val="nil"/>
              <w:bottom w:val="nil"/>
              <w:right w:val="nil"/>
            </w:tcBorders>
            <w:shd w:val="clear" w:color="auto" w:fill="auto"/>
            <w:noWrap/>
            <w:vAlign w:val="center"/>
          </w:tcPr>
          <w:p w14:paraId="3837C039"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4DD624EC"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2B533FE3" w14:textId="77777777" w:rsidR="00646BE3" w:rsidRPr="003B5136" w:rsidRDefault="00646BE3" w:rsidP="003F4366">
            <w:pPr>
              <w:spacing w:after="0" w:line="240" w:lineRule="auto"/>
              <w:jc w:val="center"/>
              <w:rPr>
                <w:rFonts w:ascii="Calibri" w:eastAsia="Times New Roman" w:hAnsi="Calibri" w:cs="Calibri"/>
                <w:color w:val="595959"/>
                <w:sz w:val="18"/>
                <w:szCs w:val="18"/>
                <w:lang w:val="en-US" w:eastAsia="el-GR"/>
              </w:rPr>
            </w:pPr>
          </w:p>
        </w:tc>
        <w:tc>
          <w:tcPr>
            <w:tcW w:w="863" w:type="dxa"/>
            <w:tcBorders>
              <w:top w:val="nil"/>
              <w:left w:val="nil"/>
              <w:bottom w:val="nil"/>
              <w:right w:val="nil"/>
            </w:tcBorders>
            <w:shd w:val="clear" w:color="auto" w:fill="auto"/>
            <w:noWrap/>
            <w:vAlign w:val="center"/>
          </w:tcPr>
          <w:p w14:paraId="33C6AC40"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9,0</w:t>
            </w:r>
          </w:p>
        </w:tc>
        <w:tc>
          <w:tcPr>
            <w:tcW w:w="862" w:type="dxa"/>
            <w:tcBorders>
              <w:top w:val="nil"/>
              <w:left w:val="nil"/>
              <w:bottom w:val="nil"/>
              <w:right w:val="nil"/>
            </w:tcBorders>
            <w:shd w:val="clear" w:color="auto" w:fill="auto"/>
            <w:noWrap/>
            <w:vAlign w:val="center"/>
          </w:tcPr>
          <w:p w14:paraId="67CAE359"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-8,4</w:t>
            </w:r>
          </w:p>
        </w:tc>
        <w:tc>
          <w:tcPr>
            <w:tcW w:w="863" w:type="dxa"/>
            <w:tcBorders>
              <w:top w:val="nil"/>
              <w:left w:val="nil"/>
              <w:bottom w:val="nil"/>
              <w:right w:val="nil"/>
            </w:tcBorders>
            <w:shd w:val="clear" w:color="auto" w:fill="auto"/>
            <w:vAlign w:val="center"/>
          </w:tcPr>
          <w:p w14:paraId="6D80ADD6"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15,9</w:t>
            </w:r>
          </w:p>
        </w:tc>
        <w:tc>
          <w:tcPr>
            <w:tcW w:w="863" w:type="dxa"/>
            <w:tcBorders>
              <w:top w:val="nil"/>
              <w:left w:val="nil"/>
              <w:bottom w:val="nil"/>
              <w:right w:val="nil"/>
            </w:tcBorders>
            <w:shd w:val="clear" w:color="auto" w:fill="auto"/>
            <w:vAlign w:val="center"/>
          </w:tcPr>
          <w:p w14:paraId="7C99E925"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7,3</w:t>
            </w:r>
          </w:p>
        </w:tc>
      </w:tr>
      <w:tr w:rsidR="00646BE3" w:rsidRPr="003B5136" w14:paraId="44277E0A" w14:textId="77777777" w:rsidTr="003F4366">
        <w:trPr>
          <w:trHeight w:val="123"/>
          <w:jc w:val="center"/>
        </w:trPr>
        <w:tc>
          <w:tcPr>
            <w:tcW w:w="1276" w:type="dxa"/>
            <w:tcBorders>
              <w:top w:val="nil"/>
              <w:left w:val="nil"/>
              <w:bottom w:val="nil"/>
              <w:right w:val="nil"/>
            </w:tcBorders>
            <w:shd w:val="clear" w:color="auto" w:fill="auto"/>
            <w:vAlign w:val="center"/>
            <w:hideMark/>
          </w:tcPr>
          <w:p w14:paraId="7B19A173"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992" w:type="dxa"/>
            <w:tcBorders>
              <w:top w:val="nil"/>
              <w:left w:val="nil"/>
              <w:bottom w:val="nil"/>
              <w:right w:val="nil"/>
            </w:tcBorders>
            <w:shd w:val="clear" w:color="auto" w:fill="auto"/>
            <w:noWrap/>
            <w:vAlign w:val="center"/>
            <w:hideMark/>
          </w:tcPr>
          <w:p w14:paraId="2153A739"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862" w:type="dxa"/>
            <w:tcBorders>
              <w:top w:val="nil"/>
              <w:left w:val="nil"/>
              <w:bottom w:val="nil"/>
              <w:right w:val="nil"/>
            </w:tcBorders>
            <w:shd w:val="clear" w:color="auto" w:fill="auto"/>
            <w:noWrap/>
            <w:vAlign w:val="center"/>
          </w:tcPr>
          <w:p w14:paraId="214305A8"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233CD09B"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6F1B843A"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0DAC8E93"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2FE6474A"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vAlign w:val="center"/>
          </w:tcPr>
          <w:p w14:paraId="3049A9F7"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vAlign w:val="center"/>
          </w:tcPr>
          <w:p w14:paraId="150A3888"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r>
      <w:tr w:rsidR="00646BE3" w:rsidRPr="003B5136" w14:paraId="024817F1" w14:textId="77777777" w:rsidTr="003F4366">
        <w:trPr>
          <w:trHeight w:val="300"/>
          <w:jc w:val="center"/>
        </w:trPr>
        <w:tc>
          <w:tcPr>
            <w:tcW w:w="1276" w:type="dxa"/>
            <w:vMerge w:val="restart"/>
            <w:tcBorders>
              <w:top w:val="nil"/>
              <w:left w:val="nil"/>
              <w:bottom w:val="nil"/>
              <w:right w:val="nil"/>
            </w:tcBorders>
            <w:shd w:val="clear" w:color="auto" w:fill="auto"/>
            <w:vAlign w:val="center"/>
            <w:hideMark/>
          </w:tcPr>
          <w:p w14:paraId="3A1B2E29"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Εισαγωγές αγαθών και υπηρεσιών</w:t>
            </w:r>
          </w:p>
        </w:tc>
        <w:tc>
          <w:tcPr>
            <w:tcW w:w="992" w:type="dxa"/>
            <w:tcBorders>
              <w:top w:val="nil"/>
              <w:left w:val="nil"/>
              <w:bottom w:val="nil"/>
              <w:right w:val="nil"/>
            </w:tcBorders>
            <w:shd w:val="clear" w:color="auto" w:fill="auto"/>
            <w:noWrap/>
            <w:vAlign w:val="center"/>
            <w:hideMark/>
          </w:tcPr>
          <w:p w14:paraId="3FC69D48"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ετήσια</w:t>
            </w:r>
          </w:p>
        </w:tc>
        <w:tc>
          <w:tcPr>
            <w:tcW w:w="862" w:type="dxa"/>
            <w:tcBorders>
              <w:top w:val="nil"/>
              <w:left w:val="nil"/>
              <w:bottom w:val="nil"/>
              <w:right w:val="nil"/>
            </w:tcBorders>
            <w:shd w:val="clear" w:color="auto" w:fill="auto"/>
            <w:noWrap/>
            <w:vAlign w:val="center"/>
          </w:tcPr>
          <w:p w14:paraId="418CAA73"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3,1</w:t>
            </w:r>
          </w:p>
        </w:tc>
        <w:tc>
          <w:tcPr>
            <w:tcW w:w="863" w:type="dxa"/>
            <w:tcBorders>
              <w:top w:val="nil"/>
              <w:left w:val="nil"/>
              <w:bottom w:val="nil"/>
              <w:right w:val="nil"/>
            </w:tcBorders>
            <w:shd w:val="clear" w:color="auto" w:fill="auto"/>
            <w:noWrap/>
            <w:vAlign w:val="center"/>
          </w:tcPr>
          <w:p w14:paraId="4C73C8B5"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-7,6</w:t>
            </w:r>
          </w:p>
        </w:tc>
        <w:tc>
          <w:tcPr>
            <w:tcW w:w="862" w:type="dxa"/>
            <w:tcBorders>
              <w:top w:val="nil"/>
              <w:left w:val="nil"/>
              <w:bottom w:val="nil"/>
              <w:right w:val="nil"/>
            </w:tcBorders>
            <w:shd w:val="clear" w:color="auto" w:fill="auto"/>
            <w:noWrap/>
            <w:vAlign w:val="center"/>
          </w:tcPr>
          <w:p w14:paraId="10E793CF"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16,1</w:t>
            </w:r>
          </w:p>
        </w:tc>
        <w:tc>
          <w:tcPr>
            <w:tcW w:w="863" w:type="dxa"/>
            <w:tcBorders>
              <w:top w:val="nil"/>
              <w:left w:val="nil"/>
              <w:bottom w:val="nil"/>
              <w:right w:val="nil"/>
            </w:tcBorders>
            <w:shd w:val="clear" w:color="auto" w:fill="auto"/>
            <w:noWrap/>
            <w:vAlign w:val="center"/>
          </w:tcPr>
          <w:p w14:paraId="1F1E2DB0"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-5,4</w:t>
            </w:r>
          </w:p>
        </w:tc>
        <w:tc>
          <w:tcPr>
            <w:tcW w:w="862" w:type="dxa"/>
            <w:tcBorders>
              <w:top w:val="nil"/>
              <w:left w:val="nil"/>
              <w:bottom w:val="nil"/>
              <w:right w:val="nil"/>
            </w:tcBorders>
            <w:shd w:val="clear" w:color="auto" w:fill="auto"/>
            <w:noWrap/>
            <w:vAlign w:val="center"/>
          </w:tcPr>
          <w:p w14:paraId="63CB8955"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20,9</w:t>
            </w:r>
          </w:p>
        </w:tc>
        <w:tc>
          <w:tcPr>
            <w:tcW w:w="863" w:type="dxa"/>
            <w:tcBorders>
              <w:top w:val="nil"/>
              <w:left w:val="nil"/>
              <w:bottom w:val="nil"/>
              <w:right w:val="nil"/>
            </w:tcBorders>
            <w:shd w:val="clear" w:color="auto" w:fill="auto"/>
            <w:vAlign w:val="center"/>
          </w:tcPr>
          <w:p w14:paraId="12607E43"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19,4</w:t>
            </w:r>
          </w:p>
        </w:tc>
        <w:tc>
          <w:tcPr>
            <w:tcW w:w="863" w:type="dxa"/>
            <w:tcBorders>
              <w:top w:val="nil"/>
              <w:left w:val="nil"/>
              <w:bottom w:val="nil"/>
              <w:right w:val="nil"/>
            </w:tcBorders>
            <w:shd w:val="clear" w:color="auto" w:fill="auto"/>
            <w:vAlign w:val="center"/>
          </w:tcPr>
          <w:p w14:paraId="1AD897E6"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33,2</w:t>
            </w:r>
          </w:p>
        </w:tc>
      </w:tr>
      <w:tr w:rsidR="00646BE3" w:rsidRPr="003B5136" w14:paraId="1363D3FB" w14:textId="77777777" w:rsidTr="003F4366">
        <w:trPr>
          <w:trHeight w:val="300"/>
          <w:jc w:val="center"/>
        </w:trPr>
        <w:tc>
          <w:tcPr>
            <w:tcW w:w="1276" w:type="dxa"/>
            <w:vMerge/>
            <w:tcBorders>
              <w:top w:val="nil"/>
              <w:left w:val="nil"/>
              <w:bottom w:val="nil"/>
              <w:right w:val="nil"/>
            </w:tcBorders>
            <w:vAlign w:val="center"/>
            <w:hideMark/>
          </w:tcPr>
          <w:p w14:paraId="22CB33AC"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992" w:type="dxa"/>
            <w:tcBorders>
              <w:top w:val="nil"/>
              <w:left w:val="nil"/>
              <w:bottom w:val="nil"/>
              <w:right w:val="nil"/>
            </w:tcBorders>
            <w:shd w:val="clear" w:color="auto" w:fill="auto"/>
            <w:noWrap/>
            <w:vAlign w:val="center"/>
            <w:hideMark/>
          </w:tcPr>
          <w:p w14:paraId="688A0D06"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τριμηνιαία</w:t>
            </w:r>
          </w:p>
        </w:tc>
        <w:tc>
          <w:tcPr>
            <w:tcW w:w="862" w:type="dxa"/>
            <w:tcBorders>
              <w:top w:val="nil"/>
              <w:left w:val="nil"/>
              <w:bottom w:val="nil"/>
              <w:right w:val="nil"/>
            </w:tcBorders>
            <w:shd w:val="clear" w:color="auto" w:fill="auto"/>
            <w:noWrap/>
            <w:vAlign w:val="center"/>
          </w:tcPr>
          <w:p w14:paraId="13229139"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3029FCB8"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nil"/>
              <w:right w:val="nil"/>
            </w:tcBorders>
            <w:shd w:val="clear" w:color="auto" w:fill="auto"/>
            <w:noWrap/>
            <w:vAlign w:val="center"/>
          </w:tcPr>
          <w:p w14:paraId="55D0DD7C"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nil"/>
              <w:right w:val="nil"/>
            </w:tcBorders>
            <w:shd w:val="clear" w:color="auto" w:fill="auto"/>
            <w:noWrap/>
            <w:vAlign w:val="center"/>
          </w:tcPr>
          <w:p w14:paraId="48CDB231"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6,2</w:t>
            </w:r>
          </w:p>
        </w:tc>
        <w:tc>
          <w:tcPr>
            <w:tcW w:w="862" w:type="dxa"/>
            <w:tcBorders>
              <w:top w:val="nil"/>
              <w:left w:val="nil"/>
              <w:bottom w:val="nil"/>
              <w:right w:val="nil"/>
            </w:tcBorders>
            <w:shd w:val="clear" w:color="auto" w:fill="auto"/>
            <w:noWrap/>
            <w:vAlign w:val="center"/>
          </w:tcPr>
          <w:p w14:paraId="1639DAF8"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9,1</w:t>
            </w:r>
          </w:p>
        </w:tc>
        <w:tc>
          <w:tcPr>
            <w:tcW w:w="863" w:type="dxa"/>
            <w:tcBorders>
              <w:top w:val="nil"/>
              <w:left w:val="nil"/>
              <w:bottom w:val="nil"/>
              <w:right w:val="nil"/>
            </w:tcBorders>
            <w:shd w:val="clear" w:color="auto" w:fill="auto"/>
            <w:vAlign w:val="center"/>
          </w:tcPr>
          <w:p w14:paraId="4492156A"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8,5</w:t>
            </w:r>
          </w:p>
        </w:tc>
        <w:tc>
          <w:tcPr>
            <w:tcW w:w="863" w:type="dxa"/>
            <w:tcBorders>
              <w:top w:val="nil"/>
              <w:left w:val="nil"/>
              <w:bottom w:val="nil"/>
              <w:right w:val="nil"/>
            </w:tcBorders>
            <w:shd w:val="clear" w:color="auto" w:fill="auto"/>
            <w:vAlign w:val="center"/>
          </w:tcPr>
          <w:p w14:paraId="334C5BA0"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5,8</w:t>
            </w:r>
          </w:p>
        </w:tc>
      </w:tr>
      <w:tr w:rsidR="00646BE3" w:rsidRPr="003B5136" w14:paraId="2646D236" w14:textId="77777777" w:rsidTr="003F4366">
        <w:trPr>
          <w:trHeight w:val="107"/>
          <w:jc w:val="center"/>
        </w:trPr>
        <w:tc>
          <w:tcPr>
            <w:tcW w:w="1276" w:type="dxa"/>
            <w:tcBorders>
              <w:top w:val="nil"/>
              <w:left w:val="nil"/>
              <w:right w:val="nil"/>
            </w:tcBorders>
            <w:shd w:val="clear" w:color="auto" w:fill="auto"/>
            <w:vAlign w:val="center"/>
            <w:hideMark/>
          </w:tcPr>
          <w:p w14:paraId="77C80944" w14:textId="77777777" w:rsidR="00646BE3" w:rsidRPr="003B5136" w:rsidRDefault="00646BE3" w:rsidP="003F4366">
            <w:pPr>
              <w:spacing w:after="0" w:line="240" w:lineRule="auto"/>
              <w:rPr>
                <w:rFonts w:ascii="Calibri Light" w:eastAsia="Times New Roman" w:hAnsi="Calibri Light" w:cs="Calibri Light"/>
                <w:color w:val="595959"/>
                <w:sz w:val="18"/>
                <w:szCs w:val="18"/>
                <w:lang w:val="en-US" w:eastAsia="el-GR"/>
              </w:rPr>
            </w:pPr>
          </w:p>
        </w:tc>
        <w:tc>
          <w:tcPr>
            <w:tcW w:w="992" w:type="dxa"/>
            <w:tcBorders>
              <w:top w:val="nil"/>
              <w:left w:val="nil"/>
              <w:right w:val="nil"/>
            </w:tcBorders>
            <w:shd w:val="clear" w:color="auto" w:fill="auto"/>
            <w:noWrap/>
            <w:vAlign w:val="center"/>
            <w:hideMark/>
          </w:tcPr>
          <w:p w14:paraId="501861AD"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862" w:type="dxa"/>
            <w:tcBorders>
              <w:top w:val="nil"/>
              <w:left w:val="nil"/>
              <w:right w:val="nil"/>
            </w:tcBorders>
            <w:shd w:val="clear" w:color="auto" w:fill="auto"/>
            <w:noWrap/>
            <w:vAlign w:val="center"/>
          </w:tcPr>
          <w:p w14:paraId="5267F9F2"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right w:val="nil"/>
            </w:tcBorders>
            <w:shd w:val="clear" w:color="auto" w:fill="auto"/>
            <w:noWrap/>
            <w:vAlign w:val="center"/>
          </w:tcPr>
          <w:p w14:paraId="79EC996B"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right w:val="nil"/>
            </w:tcBorders>
            <w:shd w:val="clear" w:color="auto" w:fill="auto"/>
            <w:noWrap/>
            <w:vAlign w:val="center"/>
          </w:tcPr>
          <w:p w14:paraId="04C69C47"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right w:val="nil"/>
            </w:tcBorders>
            <w:shd w:val="clear" w:color="auto" w:fill="auto"/>
            <w:noWrap/>
            <w:vAlign w:val="center"/>
          </w:tcPr>
          <w:p w14:paraId="526613C1"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right w:val="nil"/>
            </w:tcBorders>
            <w:shd w:val="clear" w:color="auto" w:fill="auto"/>
            <w:noWrap/>
            <w:vAlign w:val="center"/>
          </w:tcPr>
          <w:p w14:paraId="3110A34A"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right w:val="nil"/>
            </w:tcBorders>
            <w:shd w:val="clear" w:color="auto" w:fill="auto"/>
            <w:vAlign w:val="center"/>
          </w:tcPr>
          <w:p w14:paraId="66550EFE"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right w:val="nil"/>
            </w:tcBorders>
            <w:shd w:val="clear" w:color="auto" w:fill="auto"/>
            <w:vAlign w:val="center"/>
          </w:tcPr>
          <w:p w14:paraId="682D208E"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r>
      <w:tr w:rsidR="00646BE3" w:rsidRPr="003B5136" w14:paraId="49E8F912" w14:textId="77777777" w:rsidTr="003F4366">
        <w:trPr>
          <w:trHeight w:val="300"/>
          <w:jc w:val="center"/>
        </w:trPr>
        <w:tc>
          <w:tcPr>
            <w:tcW w:w="1276" w:type="dxa"/>
            <w:vMerge w:val="restart"/>
            <w:tcBorders>
              <w:top w:val="nil"/>
              <w:left w:val="nil"/>
              <w:right w:val="nil"/>
            </w:tcBorders>
            <w:shd w:val="clear" w:color="auto" w:fill="auto"/>
            <w:vAlign w:val="center"/>
            <w:hideMark/>
          </w:tcPr>
          <w:p w14:paraId="05FB274E"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Times New Roman" w:hAnsi="Calibri Light" w:cs="Calibri Light"/>
                <w:color w:val="595959"/>
                <w:sz w:val="18"/>
                <w:szCs w:val="18"/>
                <w:lang w:eastAsia="el-GR"/>
              </w:rPr>
              <w:t>ΑΕΠ</w:t>
            </w:r>
          </w:p>
        </w:tc>
        <w:tc>
          <w:tcPr>
            <w:tcW w:w="992" w:type="dxa"/>
            <w:tcBorders>
              <w:top w:val="nil"/>
              <w:left w:val="nil"/>
              <w:right w:val="nil"/>
            </w:tcBorders>
            <w:shd w:val="clear" w:color="auto" w:fill="auto"/>
            <w:noWrap/>
            <w:vAlign w:val="center"/>
            <w:hideMark/>
          </w:tcPr>
          <w:p w14:paraId="0F1F8BF8"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ετήσια</w:t>
            </w:r>
          </w:p>
        </w:tc>
        <w:tc>
          <w:tcPr>
            <w:tcW w:w="862" w:type="dxa"/>
            <w:tcBorders>
              <w:top w:val="nil"/>
              <w:left w:val="nil"/>
              <w:right w:val="nil"/>
            </w:tcBorders>
            <w:shd w:val="clear" w:color="auto" w:fill="auto"/>
            <w:noWrap/>
            <w:vAlign w:val="center"/>
          </w:tcPr>
          <w:p w14:paraId="48495826"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1,8</w:t>
            </w:r>
          </w:p>
        </w:tc>
        <w:tc>
          <w:tcPr>
            <w:tcW w:w="863" w:type="dxa"/>
            <w:tcBorders>
              <w:top w:val="nil"/>
              <w:left w:val="nil"/>
              <w:right w:val="nil"/>
            </w:tcBorders>
            <w:shd w:val="clear" w:color="auto" w:fill="auto"/>
            <w:noWrap/>
            <w:vAlign w:val="center"/>
          </w:tcPr>
          <w:p w14:paraId="40C78657"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-9,0</w:t>
            </w:r>
          </w:p>
        </w:tc>
        <w:tc>
          <w:tcPr>
            <w:tcW w:w="862" w:type="dxa"/>
            <w:tcBorders>
              <w:top w:val="nil"/>
              <w:left w:val="nil"/>
              <w:right w:val="nil"/>
            </w:tcBorders>
            <w:shd w:val="clear" w:color="auto" w:fill="auto"/>
            <w:noWrap/>
            <w:vAlign w:val="center"/>
          </w:tcPr>
          <w:p w14:paraId="41799DF5"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8,3</w:t>
            </w:r>
          </w:p>
        </w:tc>
        <w:tc>
          <w:tcPr>
            <w:tcW w:w="863" w:type="dxa"/>
            <w:tcBorders>
              <w:top w:val="nil"/>
              <w:left w:val="nil"/>
              <w:right w:val="nil"/>
            </w:tcBorders>
            <w:shd w:val="clear" w:color="auto" w:fill="auto"/>
            <w:noWrap/>
            <w:vAlign w:val="center"/>
          </w:tcPr>
          <w:p w14:paraId="71AD9E7C"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-1,4</w:t>
            </w:r>
          </w:p>
        </w:tc>
        <w:tc>
          <w:tcPr>
            <w:tcW w:w="862" w:type="dxa"/>
            <w:tcBorders>
              <w:top w:val="nil"/>
              <w:left w:val="nil"/>
              <w:right w:val="nil"/>
            </w:tcBorders>
            <w:shd w:val="clear" w:color="auto" w:fill="auto"/>
            <w:noWrap/>
            <w:vAlign w:val="center"/>
          </w:tcPr>
          <w:p w14:paraId="2CA5FD20"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15,1</w:t>
            </w:r>
          </w:p>
        </w:tc>
        <w:tc>
          <w:tcPr>
            <w:tcW w:w="863" w:type="dxa"/>
            <w:tcBorders>
              <w:top w:val="nil"/>
              <w:left w:val="nil"/>
              <w:right w:val="nil"/>
            </w:tcBorders>
            <w:shd w:val="clear" w:color="auto" w:fill="auto"/>
            <w:vAlign w:val="center"/>
          </w:tcPr>
          <w:p w14:paraId="76EC74B0"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11,4</w:t>
            </w:r>
          </w:p>
        </w:tc>
        <w:tc>
          <w:tcPr>
            <w:tcW w:w="863" w:type="dxa"/>
            <w:tcBorders>
              <w:top w:val="nil"/>
              <w:left w:val="nil"/>
              <w:right w:val="nil"/>
            </w:tcBorders>
            <w:shd w:val="clear" w:color="auto" w:fill="auto"/>
            <w:vAlign w:val="center"/>
          </w:tcPr>
          <w:p w14:paraId="68456963"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7,7</w:t>
            </w:r>
          </w:p>
        </w:tc>
      </w:tr>
      <w:tr w:rsidR="00646BE3" w:rsidRPr="003B5136" w14:paraId="141A5DD3" w14:textId="77777777" w:rsidTr="003F4366">
        <w:trPr>
          <w:trHeight w:val="300"/>
          <w:jc w:val="center"/>
        </w:trPr>
        <w:tc>
          <w:tcPr>
            <w:tcW w:w="1276" w:type="dxa"/>
            <w:vMerge/>
            <w:tcBorders>
              <w:top w:val="nil"/>
              <w:left w:val="nil"/>
              <w:bottom w:val="single" w:sz="4" w:space="0" w:color="auto"/>
              <w:right w:val="nil"/>
            </w:tcBorders>
            <w:vAlign w:val="center"/>
            <w:hideMark/>
          </w:tcPr>
          <w:p w14:paraId="09A7F5EB"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p>
        </w:tc>
        <w:tc>
          <w:tcPr>
            <w:tcW w:w="992" w:type="dxa"/>
            <w:tcBorders>
              <w:top w:val="nil"/>
              <w:left w:val="nil"/>
              <w:bottom w:val="single" w:sz="4" w:space="0" w:color="auto"/>
              <w:right w:val="nil"/>
            </w:tcBorders>
            <w:shd w:val="clear" w:color="auto" w:fill="auto"/>
            <w:noWrap/>
            <w:vAlign w:val="center"/>
            <w:hideMark/>
          </w:tcPr>
          <w:p w14:paraId="0B91EBB3" w14:textId="77777777" w:rsidR="00646BE3" w:rsidRPr="003B5136" w:rsidRDefault="00646BE3" w:rsidP="003F4366">
            <w:pPr>
              <w:spacing w:after="0" w:line="240" w:lineRule="auto"/>
              <w:rPr>
                <w:rFonts w:ascii="Calibri Light" w:eastAsia="Times New Roman" w:hAnsi="Calibri Light" w:cs="Calibri Light"/>
                <w:color w:val="595959"/>
                <w:sz w:val="18"/>
                <w:szCs w:val="18"/>
                <w:lang w:eastAsia="el-GR"/>
              </w:rPr>
            </w:pPr>
            <w:r w:rsidRPr="003B5136">
              <w:rPr>
                <w:rFonts w:ascii="Calibri Light" w:eastAsia="Calibri" w:hAnsi="Calibri Light" w:cs="Calibri Light"/>
                <w:color w:val="595959"/>
                <w:sz w:val="18"/>
                <w:szCs w:val="18"/>
              </w:rPr>
              <w:t>τριμηνιαία</w:t>
            </w:r>
          </w:p>
        </w:tc>
        <w:tc>
          <w:tcPr>
            <w:tcW w:w="862" w:type="dxa"/>
            <w:tcBorders>
              <w:top w:val="nil"/>
              <w:left w:val="nil"/>
              <w:bottom w:val="single" w:sz="4" w:space="0" w:color="auto"/>
              <w:right w:val="nil"/>
            </w:tcBorders>
            <w:shd w:val="clear" w:color="auto" w:fill="auto"/>
            <w:noWrap/>
            <w:vAlign w:val="center"/>
          </w:tcPr>
          <w:p w14:paraId="780BF5C2"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single" w:sz="4" w:space="0" w:color="auto"/>
              <w:right w:val="nil"/>
            </w:tcBorders>
            <w:shd w:val="clear" w:color="auto" w:fill="auto"/>
            <w:noWrap/>
            <w:vAlign w:val="center"/>
          </w:tcPr>
          <w:p w14:paraId="7DE01B78"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2" w:type="dxa"/>
            <w:tcBorders>
              <w:top w:val="nil"/>
              <w:left w:val="nil"/>
              <w:bottom w:val="single" w:sz="4" w:space="0" w:color="auto"/>
              <w:right w:val="nil"/>
            </w:tcBorders>
            <w:shd w:val="clear" w:color="auto" w:fill="auto"/>
            <w:noWrap/>
            <w:vAlign w:val="center"/>
          </w:tcPr>
          <w:p w14:paraId="198ABE83"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p>
        </w:tc>
        <w:tc>
          <w:tcPr>
            <w:tcW w:w="863" w:type="dxa"/>
            <w:tcBorders>
              <w:top w:val="nil"/>
              <w:left w:val="nil"/>
              <w:bottom w:val="single" w:sz="4" w:space="0" w:color="auto"/>
              <w:right w:val="nil"/>
            </w:tcBorders>
            <w:shd w:val="clear" w:color="auto" w:fill="auto"/>
            <w:noWrap/>
            <w:vAlign w:val="center"/>
          </w:tcPr>
          <w:p w14:paraId="7ABB5B10"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4,1</w:t>
            </w:r>
          </w:p>
        </w:tc>
        <w:tc>
          <w:tcPr>
            <w:tcW w:w="862" w:type="dxa"/>
            <w:tcBorders>
              <w:top w:val="nil"/>
              <w:left w:val="nil"/>
              <w:bottom w:val="single" w:sz="4" w:space="0" w:color="auto"/>
              <w:right w:val="nil"/>
            </w:tcBorders>
            <w:shd w:val="clear" w:color="auto" w:fill="auto"/>
            <w:noWrap/>
            <w:vAlign w:val="center"/>
          </w:tcPr>
          <w:p w14:paraId="00A16CDA" w14:textId="77777777" w:rsidR="00646BE3" w:rsidRPr="003B5136" w:rsidRDefault="00646BE3" w:rsidP="003F4366">
            <w:pPr>
              <w:spacing w:after="0" w:line="240" w:lineRule="auto"/>
              <w:jc w:val="center"/>
              <w:rPr>
                <w:rFonts w:ascii="Calibri" w:eastAsia="Times New Roman" w:hAnsi="Calibri" w:cs="Calibri"/>
                <w:color w:val="595959"/>
                <w:sz w:val="18"/>
                <w:szCs w:val="18"/>
                <w:lang w:eastAsia="el-GR"/>
              </w:rPr>
            </w:pPr>
            <w:r>
              <w:rPr>
                <w:rFonts w:ascii="Calibri" w:eastAsia="Times New Roman" w:hAnsi="Calibri" w:cs="Calibri"/>
                <w:color w:val="595959"/>
                <w:sz w:val="18"/>
                <w:szCs w:val="18"/>
                <w:lang w:eastAsia="el-GR"/>
              </w:rPr>
              <w:t>1,0</w:t>
            </w:r>
          </w:p>
        </w:tc>
        <w:tc>
          <w:tcPr>
            <w:tcW w:w="863" w:type="dxa"/>
            <w:tcBorders>
              <w:top w:val="nil"/>
              <w:left w:val="nil"/>
              <w:bottom w:val="single" w:sz="4" w:space="0" w:color="auto"/>
              <w:right w:val="nil"/>
            </w:tcBorders>
            <w:shd w:val="clear" w:color="auto" w:fill="auto"/>
            <w:vAlign w:val="center"/>
          </w:tcPr>
          <w:p w14:paraId="4BD99A5F"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2,0</w:t>
            </w:r>
          </w:p>
        </w:tc>
        <w:tc>
          <w:tcPr>
            <w:tcW w:w="863" w:type="dxa"/>
            <w:tcBorders>
              <w:top w:val="nil"/>
              <w:left w:val="nil"/>
              <w:bottom w:val="single" w:sz="4" w:space="0" w:color="auto"/>
              <w:right w:val="nil"/>
            </w:tcBorders>
            <w:shd w:val="clear" w:color="auto" w:fill="auto"/>
            <w:vAlign w:val="center"/>
          </w:tcPr>
          <w:p w14:paraId="76040AAC" w14:textId="77777777" w:rsidR="00646BE3" w:rsidRPr="003B5136" w:rsidRDefault="00646BE3" w:rsidP="003F4366">
            <w:pPr>
              <w:spacing w:after="0" w:line="240" w:lineRule="auto"/>
              <w:jc w:val="center"/>
              <w:rPr>
                <w:rFonts w:ascii="Calibri" w:eastAsia="Calibri" w:hAnsi="Calibri" w:cs="Calibri"/>
                <w:color w:val="595959"/>
                <w:sz w:val="18"/>
                <w:szCs w:val="18"/>
              </w:rPr>
            </w:pPr>
            <w:r>
              <w:rPr>
                <w:rFonts w:ascii="Calibri" w:eastAsia="Calibri" w:hAnsi="Calibri" w:cs="Calibri"/>
                <w:color w:val="595959"/>
                <w:sz w:val="18"/>
                <w:szCs w:val="18"/>
              </w:rPr>
              <w:t>0,4</w:t>
            </w:r>
          </w:p>
        </w:tc>
      </w:tr>
    </w:tbl>
    <w:p w14:paraId="528E2C83" w14:textId="77777777" w:rsidR="00646BE3" w:rsidRPr="00933845" w:rsidRDefault="00646BE3" w:rsidP="00646BE3">
      <w:pPr>
        <w:spacing w:after="0" w:line="276" w:lineRule="auto"/>
        <w:jc w:val="both"/>
        <w:rPr>
          <w:rFonts w:ascii="Calibri Light" w:eastAsia="Calibri" w:hAnsi="Calibri Light" w:cs="Calibri Light"/>
          <w:color w:val="595959"/>
          <w:sz w:val="18"/>
          <w:szCs w:val="18"/>
          <w:u w:val="single"/>
        </w:rPr>
      </w:pPr>
      <w:r w:rsidRPr="00933845">
        <w:rPr>
          <w:rFonts w:ascii="Calibri Light" w:eastAsia="Calibri" w:hAnsi="Calibri Light" w:cs="Calibri Light"/>
          <w:color w:val="595959"/>
          <w:sz w:val="18"/>
          <w:szCs w:val="18"/>
        </w:rPr>
        <w:t xml:space="preserve">Πηγή: ΕΛΣΤΑΤ, </w:t>
      </w:r>
      <w:hyperlink r:id="rId21" w:history="1">
        <w:r w:rsidRPr="00933845">
          <w:rPr>
            <w:rFonts w:ascii="Calibri Light" w:eastAsia="Calibri" w:hAnsi="Calibri Light" w:cs="Calibri Light"/>
            <w:color w:val="595959"/>
            <w:sz w:val="18"/>
            <w:szCs w:val="18"/>
            <w:u w:val="single"/>
          </w:rPr>
          <w:t>Ετήσιοι</w:t>
        </w:r>
      </w:hyperlink>
      <w:r w:rsidRPr="00933845">
        <w:rPr>
          <w:rFonts w:ascii="Calibri Light" w:eastAsia="Calibri" w:hAnsi="Calibri Light" w:cs="Calibri Light"/>
          <w:color w:val="595959"/>
          <w:sz w:val="18"/>
          <w:szCs w:val="18"/>
        </w:rPr>
        <w:t xml:space="preserve"> και </w:t>
      </w:r>
      <w:hyperlink r:id="rId22" w:history="1">
        <w:r w:rsidRPr="00933845">
          <w:rPr>
            <w:rFonts w:ascii="Calibri Light" w:eastAsia="Calibri" w:hAnsi="Calibri Light" w:cs="Calibri Light"/>
            <w:color w:val="595959"/>
            <w:sz w:val="18"/>
            <w:szCs w:val="18"/>
            <w:u w:val="single"/>
          </w:rPr>
          <w:t>Τριμηνιαίοι Εθνικοί Λογαριασμοί</w:t>
        </w:r>
      </w:hyperlink>
    </w:p>
    <w:p w14:paraId="334E74A8" w14:textId="77777777" w:rsidR="00646BE3" w:rsidRDefault="00646BE3" w:rsidP="00646BE3">
      <w:pPr>
        <w:autoSpaceDE w:val="0"/>
        <w:autoSpaceDN w:val="0"/>
        <w:adjustRightInd w:val="0"/>
        <w:spacing w:after="0" w:line="276" w:lineRule="auto"/>
        <w:jc w:val="both"/>
        <w:rPr>
          <w:rFonts w:ascii="Calibri" w:eastAsia="Calibri" w:hAnsi="Calibri" w:cs="Calibri"/>
          <w:color w:val="595959" w:themeColor="text1" w:themeTint="A6"/>
        </w:rPr>
      </w:pPr>
    </w:p>
    <w:p w14:paraId="63DE2D6A" w14:textId="77777777" w:rsidR="00EA763A" w:rsidRDefault="00646BE3" w:rsidP="00EA763A">
      <w:pPr>
        <w:autoSpaceDE w:val="0"/>
        <w:autoSpaceDN w:val="0"/>
        <w:adjustRightInd w:val="0"/>
        <w:spacing w:line="276" w:lineRule="auto"/>
        <w:jc w:val="both"/>
        <w:rPr>
          <w:rFonts w:ascii="Calibri" w:eastAsia="Calibri" w:hAnsi="Calibri" w:cs="Calibri"/>
          <w:color w:val="595959" w:themeColor="text1" w:themeTint="A6"/>
        </w:rPr>
      </w:pPr>
      <w:r w:rsidRPr="006F2BF2">
        <w:rPr>
          <w:rFonts w:ascii="Calibri" w:eastAsia="Calibri" w:hAnsi="Calibri" w:cs="Calibri"/>
          <w:color w:val="595959"/>
        </w:rPr>
        <w:t xml:space="preserve">Η </w:t>
      </w:r>
      <w:r w:rsidRPr="00A03225">
        <w:rPr>
          <w:rFonts w:ascii="Calibri" w:eastAsia="Calibri" w:hAnsi="Calibri" w:cs="Calibri"/>
          <w:color w:val="595959" w:themeColor="text1" w:themeTint="A6"/>
        </w:rPr>
        <w:t xml:space="preserve">αύξηση </w:t>
      </w:r>
      <w:r w:rsidRPr="006F2BF2">
        <w:rPr>
          <w:rFonts w:ascii="Calibri" w:eastAsia="Calibri" w:hAnsi="Calibri" w:cs="Calibri"/>
          <w:color w:val="595959"/>
        </w:rPr>
        <w:t>των Επενδύσεων (Ακαθάριστος Σχηματισμός Παγίου Κεφαλαίου) για το σύνολο του 202</w:t>
      </w:r>
      <w:r w:rsidRPr="00A03225">
        <w:rPr>
          <w:rFonts w:ascii="Calibri" w:eastAsia="Calibri" w:hAnsi="Calibri" w:cs="Calibri"/>
          <w:color w:val="595959"/>
        </w:rPr>
        <w:t>1</w:t>
      </w:r>
      <w:r w:rsidRPr="006F2BF2">
        <w:rPr>
          <w:rFonts w:ascii="Calibri" w:eastAsia="Calibri" w:hAnsi="Calibri" w:cs="Calibri"/>
          <w:color w:val="595959"/>
        </w:rPr>
        <w:t xml:space="preserve"> </w:t>
      </w:r>
      <w:hyperlink r:id="rId23" w:history="1">
        <w:r w:rsidRPr="006F2BF2">
          <w:rPr>
            <w:rFonts w:ascii="Calibri" w:eastAsia="Calibri" w:hAnsi="Calibri" w:cs="Calibri"/>
            <w:color w:val="595959"/>
            <w:u w:val="single"/>
          </w:rPr>
          <w:t>οφείλεται</w:t>
        </w:r>
      </w:hyperlink>
      <w:r w:rsidRPr="006F2BF2">
        <w:rPr>
          <w:rFonts w:ascii="Calibri" w:eastAsia="Calibri" w:hAnsi="Calibri" w:cs="Calibri"/>
          <w:color w:val="595959"/>
        </w:rPr>
        <w:t xml:space="preserve"> στ</w:t>
      </w:r>
      <w:r w:rsidRPr="00A03225">
        <w:rPr>
          <w:rFonts w:ascii="Calibri" w:eastAsia="Calibri" w:hAnsi="Calibri" w:cs="Calibri"/>
          <w:color w:val="595959"/>
        </w:rPr>
        <w:t>ις</w:t>
      </w:r>
      <w:r w:rsidRPr="006F2BF2">
        <w:rPr>
          <w:rFonts w:ascii="Calibri" w:eastAsia="Calibri" w:hAnsi="Calibri" w:cs="Calibri"/>
          <w:color w:val="595959"/>
        </w:rPr>
        <w:t xml:space="preserve"> κατηγορ</w:t>
      </w:r>
      <w:r w:rsidRPr="00A03225">
        <w:rPr>
          <w:rFonts w:ascii="Calibri" w:eastAsia="Calibri" w:hAnsi="Calibri" w:cs="Calibri"/>
          <w:color w:val="595959"/>
        </w:rPr>
        <w:t>ίες</w:t>
      </w:r>
      <w:r w:rsidRPr="006F2BF2">
        <w:rPr>
          <w:rFonts w:ascii="Calibri" w:eastAsia="Calibri" w:hAnsi="Calibri" w:cs="Calibri"/>
          <w:color w:val="595959"/>
        </w:rPr>
        <w:t xml:space="preserve"> </w:t>
      </w:r>
      <w:r>
        <w:rPr>
          <w:rFonts w:ascii="Calibri" w:eastAsia="Calibri" w:hAnsi="Calibri" w:cs="Calibri"/>
          <w:color w:val="595959"/>
        </w:rPr>
        <w:t>Μ</w:t>
      </w:r>
      <w:r w:rsidRPr="006F2BF2">
        <w:rPr>
          <w:rFonts w:ascii="Calibri" w:eastAsia="Calibri" w:hAnsi="Calibri" w:cs="Calibri"/>
          <w:color w:val="595959"/>
        </w:rPr>
        <w:t xml:space="preserve">εταλλικά </w:t>
      </w:r>
      <w:r>
        <w:rPr>
          <w:rFonts w:ascii="Calibri" w:eastAsia="Calibri" w:hAnsi="Calibri" w:cs="Calibri"/>
          <w:color w:val="595959"/>
        </w:rPr>
        <w:t>Π</w:t>
      </w:r>
      <w:r w:rsidRPr="006F2BF2">
        <w:rPr>
          <w:rFonts w:ascii="Calibri" w:eastAsia="Calibri" w:hAnsi="Calibri" w:cs="Calibri"/>
          <w:color w:val="595959"/>
        </w:rPr>
        <w:t xml:space="preserve">ροϊόντα και </w:t>
      </w:r>
      <w:r>
        <w:rPr>
          <w:rFonts w:ascii="Calibri" w:eastAsia="Calibri" w:hAnsi="Calibri" w:cs="Calibri"/>
          <w:color w:val="595959"/>
        </w:rPr>
        <w:t>Μ</w:t>
      </w:r>
      <w:r w:rsidRPr="006F2BF2">
        <w:rPr>
          <w:rFonts w:ascii="Calibri" w:eastAsia="Calibri" w:hAnsi="Calibri" w:cs="Calibri"/>
          <w:color w:val="595959"/>
        </w:rPr>
        <w:t xml:space="preserve">ηχανήματα </w:t>
      </w:r>
      <w:r w:rsidRPr="00A03225">
        <w:rPr>
          <w:rFonts w:ascii="Calibri" w:eastAsia="Calibri" w:hAnsi="Calibri" w:cs="Calibri"/>
          <w:color w:val="595959"/>
        </w:rPr>
        <w:t>(</w:t>
      </w:r>
      <w:r w:rsidRPr="00027559">
        <w:rPr>
          <w:rFonts w:ascii="Calibri" w:eastAsia="Calibri" w:hAnsi="Calibri" w:cs="Calibri"/>
          <w:color w:val="595959" w:themeColor="text1" w:themeTint="A6"/>
        </w:rPr>
        <w:t xml:space="preserve">αύξηση </w:t>
      </w:r>
      <w:r w:rsidRPr="006F2BF2">
        <w:rPr>
          <w:rFonts w:ascii="Calibri" w:eastAsia="Calibri" w:hAnsi="Calibri" w:cs="Calibri"/>
          <w:color w:val="595959"/>
        </w:rPr>
        <w:t>3</w:t>
      </w:r>
      <w:r w:rsidRPr="00A03225">
        <w:rPr>
          <w:rFonts w:ascii="Calibri" w:eastAsia="Calibri" w:hAnsi="Calibri" w:cs="Calibri"/>
          <w:color w:val="595959"/>
        </w:rPr>
        <w:t>3</w:t>
      </w:r>
      <w:r w:rsidRPr="006F2BF2">
        <w:rPr>
          <w:rFonts w:ascii="Calibri" w:eastAsia="Calibri" w:hAnsi="Calibri" w:cs="Calibri"/>
          <w:color w:val="595959"/>
        </w:rPr>
        <w:t>,5%</w:t>
      </w:r>
      <w:r w:rsidRPr="00A03225">
        <w:rPr>
          <w:rFonts w:ascii="Calibri" w:eastAsia="Calibri" w:hAnsi="Calibri" w:cs="Calibri"/>
          <w:color w:val="595959"/>
        </w:rPr>
        <w:t>)</w:t>
      </w:r>
      <w:r w:rsidRPr="006F2BF2">
        <w:rPr>
          <w:rFonts w:ascii="Calibri" w:eastAsia="Calibri" w:hAnsi="Calibri" w:cs="Calibri"/>
          <w:color w:val="595959"/>
        </w:rPr>
        <w:t>,</w:t>
      </w:r>
      <w:r w:rsidRPr="00A03225">
        <w:rPr>
          <w:rFonts w:ascii="Calibri" w:eastAsia="Calibri" w:hAnsi="Calibri" w:cs="Calibri"/>
          <w:color w:val="595959"/>
        </w:rPr>
        <w:t xml:space="preserve"> </w:t>
      </w:r>
      <w:r>
        <w:rPr>
          <w:rFonts w:ascii="Calibri" w:eastAsia="Calibri" w:hAnsi="Calibri" w:cs="Calibri"/>
          <w:color w:val="595959"/>
        </w:rPr>
        <w:t>Ε</w:t>
      </w:r>
      <w:r w:rsidRPr="006F2BF2">
        <w:rPr>
          <w:rFonts w:ascii="Calibri" w:eastAsia="Calibri" w:hAnsi="Calibri" w:cs="Calibri"/>
          <w:color w:val="595959"/>
        </w:rPr>
        <w:t>ξοπλισμ</w:t>
      </w:r>
      <w:r w:rsidRPr="00A03225">
        <w:rPr>
          <w:rFonts w:ascii="Calibri" w:eastAsia="Calibri" w:hAnsi="Calibri" w:cs="Calibri"/>
          <w:color w:val="595959"/>
        </w:rPr>
        <w:t>ός</w:t>
      </w:r>
      <w:r w:rsidRPr="006F2BF2">
        <w:rPr>
          <w:rFonts w:ascii="Calibri" w:eastAsia="Calibri" w:hAnsi="Calibri" w:cs="Calibri"/>
          <w:color w:val="595959"/>
        </w:rPr>
        <w:t xml:space="preserve"> </w:t>
      </w:r>
      <w:r>
        <w:rPr>
          <w:rFonts w:ascii="Calibri" w:eastAsia="Calibri" w:hAnsi="Calibri" w:cs="Calibri"/>
          <w:color w:val="595959"/>
        </w:rPr>
        <w:t>Μ</w:t>
      </w:r>
      <w:r w:rsidRPr="006F2BF2">
        <w:rPr>
          <w:rFonts w:ascii="Calibri" w:eastAsia="Calibri" w:hAnsi="Calibri" w:cs="Calibri"/>
          <w:color w:val="595959"/>
        </w:rPr>
        <w:t xml:space="preserve">εταφορών </w:t>
      </w:r>
      <w:r w:rsidRPr="00A03225">
        <w:rPr>
          <w:rFonts w:ascii="Calibri" w:eastAsia="Calibri" w:hAnsi="Calibri" w:cs="Calibri"/>
          <w:color w:val="595959"/>
        </w:rPr>
        <w:t>(</w:t>
      </w:r>
      <w:r w:rsidRPr="00027559">
        <w:rPr>
          <w:rFonts w:ascii="Calibri" w:eastAsia="Calibri" w:hAnsi="Calibri" w:cs="Calibri"/>
          <w:color w:val="595959" w:themeColor="text1" w:themeTint="A6"/>
        </w:rPr>
        <w:t xml:space="preserve">αύξηση </w:t>
      </w:r>
      <w:r w:rsidRPr="00A03225">
        <w:rPr>
          <w:rFonts w:ascii="Calibri" w:eastAsia="Calibri" w:hAnsi="Calibri" w:cs="Calibri"/>
          <w:color w:val="595959"/>
        </w:rPr>
        <w:t>31,3</w:t>
      </w:r>
      <w:r w:rsidRPr="006F2BF2">
        <w:rPr>
          <w:rFonts w:ascii="Calibri" w:eastAsia="Calibri" w:hAnsi="Calibri" w:cs="Calibri"/>
          <w:color w:val="595959"/>
        </w:rPr>
        <w:t>%)</w:t>
      </w:r>
      <w:r w:rsidRPr="00A03225">
        <w:rPr>
          <w:rFonts w:ascii="Calibri" w:eastAsia="Calibri" w:hAnsi="Calibri" w:cs="Calibri"/>
          <w:color w:val="595959"/>
        </w:rPr>
        <w:t xml:space="preserve">, </w:t>
      </w:r>
      <w:r>
        <w:rPr>
          <w:rFonts w:ascii="Calibri" w:eastAsia="Calibri" w:hAnsi="Calibri" w:cs="Calibri"/>
          <w:color w:val="595959"/>
        </w:rPr>
        <w:t>Κ</w:t>
      </w:r>
      <w:r w:rsidRPr="006F2BF2">
        <w:rPr>
          <w:rFonts w:ascii="Calibri" w:eastAsia="Calibri" w:hAnsi="Calibri" w:cs="Calibri"/>
          <w:color w:val="595959"/>
        </w:rPr>
        <w:t xml:space="preserve">ατοικίες </w:t>
      </w:r>
      <w:r w:rsidRPr="00A03225">
        <w:rPr>
          <w:rFonts w:ascii="Calibri" w:eastAsia="Calibri" w:hAnsi="Calibri" w:cs="Calibri"/>
          <w:color w:val="595959"/>
        </w:rPr>
        <w:t>(</w:t>
      </w:r>
      <w:r w:rsidRPr="00027559">
        <w:rPr>
          <w:rFonts w:ascii="Calibri" w:eastAsia="Calibri" w:hAnsi="Calibri" w:cs="Calibri"/>
          <w:color w:val="595959" w:themeColor="text1" w:themeTint="A6"/>
        </w:rPr>
        <w:t xml:space="preserve">αύξηση </w:t>
      </w:r>
      <w:r w:rsidRPr="00A03225">
        <w:rPr>
          <w:rFonts w:ascii="Calibri" w:eastAsia="Calibri" w:hAnsi="Calibri" w:cs="Calibri"/>
          <w:color w:val="595959"/>
        </w:rPr>
        <w:t>26,4</w:t>
      </w:r>
      <w:r w:rsidRPr="006F2BF2">
        <w:rPr>
          <w:rFonts w:ascii="Calibri" w:eastAsia="Calibri" w:hAnsi="Calibri" w:cs="Calibri"/>
          <w:color w:val="595959"/>
        </w:rPr>
        <w:t>%</w:t>
      </w:r>
      <w:r w:rsidRPr="00A03225">
        <w:rPr>
          <w:rFonts w:ascii="Calibri" w:eastAsia="Calibri" w:hAnsi="Calibri" w:cs="Calibri"/>
          <w:color w:val="595959"/>
        </w:rPr>
        <w:t>)</w:t>
      </w:r>
      <w:r w:rsidRPr="006F2BF2">
        <w:rPr>
          <w:rFonts w:ascii="Calibri" w:eastAsia="Calibri" w:hAnsi="Calibri" w:cs="Calibri"/>
          <w:color w:val="595959"/>
        </w:rPr>
        <w:t>,</w:t>
      </w:r>
      <w:r w:rsidRPr="00A03225">
        <w:rPr>
          <w:rFonts w:ascii="Calibri" w:eastAsia="Calibri" w:hAnsi="Calibri" w:cs="Calibri"/>
          <w:color w:val="595959"/>
        </w:rPr>
        <w:t xml:space="preserve"> </w:t>
      </w:r>
      <w:r>
        <w:rPr>
          <w:rFonts w:ascii="Calibri" w:eastAsia="Calibri" w:hAnsi="Calibri" w:cs="Calibri"/>
          <w:color w:val="595959"/>
        </w:rPr>
        <w:t>Ά</w:t>
      </w:r>
      <w:r w:rsidRPr="006F2BF2">
        <w:rPr>
          <w:rFonts w:ascii="Calibri" w:eastAsia="Calibri" w:hAnsi="Calibri" w:cs="Calibri"/>
          <w:color w:val="595959"/>
        </w:rPr>
        <w:t xml:space="preserve">λλες </w:t>
      </w:r>
      <w:r>
        <w:rPr>
          <w:rFonts w:ascii="Calibri" w:eastAsia="Calibri" w:hAnsi="Calibri" w:cs="Calibri"/>
          <w:color w:val="595959"/>
        </w:rPr>
        <w:t>Κ</w:t>
      </w:r>
      <w:r w:rsidRPr="006F2BF2">
        <w:rPr>
          <w:rFonts w:ascii="Calibri" w:eastAsia="Calibri" w:hAnsi="Calibri" w:cs="Calibri"/>
          <w:color w:val="595959"/>
        </w:rPr>
        <w:t xml:space="preserve">ατασκευές </w:t>
      </w:r>
      <w:r w:rsidRPr="00A03225">
        <w:rPr>
          <w:rFonts w:ascii="Calibri" w:eastAsia="Calibri" w:hAnsi="Calibri" w:cs="Calibri"/>
          <w:color w:val="595959"/>
        </w:rPr>
        <w:t>(</w:t>
      </w:r>
      <w:r w:rsidRPr="00027559">
        <w:rPr>
          <w:rFonts w:ascii="Calibri" w:eastAsia="Calibri" w:hAnsi="Calibri" w:cs="Calibri"/>
          <w:color w:val="595959" w:themeColor="text1" w:themeTint="A6"/>
        </w:rPr>
        <w:t xml:space="preserve">αύξηση </w:t>
      </w:r>
      <w:r w:rsidRPr="00A03225">
        <w:rPr>
          <w:rFonts w:ascii="Calibri" w:eastAsia="Calibri" w:hAnsi="Calibri" w:cs="Calibri"/>
          <w:color w:val="595959"/>
        </w:rPr>
        <w:t>4,8</w:t>
      </w:r>
      <w:r w:rsidRPr="006F2BF2">
        <w:rPr>
          <w:rFonts w:ascii="Calibri" w:eastAsia="Calibri" w:hAnsi="Calibri" w:cs="Calibri"/>
          <w:color w:val="595959"/>
        </w:rPr>
        <w:t>%</w:t>
      </w:r>
      <w:r w:rsidRPr="00A03225">
        <w:rPr>
          <w:rFonts w:ascii="Calibri" w:eastAsia="Calibri" w:hAnsi="Calibri" w:cs="Calibri"/>
          <w:color w:val="595959"/>
        </w:rPr>
        <w:t>) και</w:t>
      </w:r>
      <w:r w:rsidRPr="006F2BF2">
        <w:rPr>
          <w:rFonts w:ascii="Calibri" w:eastAsia="Calibri" w:hAnsi="Calibri" w:cs="Calibri"/>
          <w:color w:val="595959"/>
        </w:rPr>
        <w:t xml:space="preserve"> </w:t>
      </w:r>
      <w:r>
        <w:rPr>
          <w:rFonts w:ascii="Calibri" w:eastAsia="Calibri" w:hAnsi="Calibri" w:cs="Calibri"/>
          <w:color w:val="595959"/>
        </w:rPr>
        <w:t>Ά</w:t>
      </w:r>
      <w:r w:rsidRPr="006F2BF2">
        <w:rPr>
          <w:rFonts w:ascii="Calibri" w:eastAsia="Calibri" w:hAnsi="Calibri" w:cs="Calibri"/>
          <w:color w:val="595959"/>
        </w:rPr>
        <w:t xml:space="preserve">λλα </w:t>
      </w:r>
      <w:r>
        <w:rPr>
          <w:rFonts w:ascii="Calibri" w:eastAsia="Calibri" w:hAnsi="Calibri" w:cs="Calibri"/>
          <w:color w:val="595959"/>
        </w:rPr>
        <w:t>Π</w:t>
      </w:r>
      <w:r w:rsidRPr="006F2BF2">
        <w:rPr>
          <w:rFonts w:ascii="Calibri" w:eastAsia="Calibri" w:hAnsi="Calibri" w:cs="Calibri"/>
          <w:color w:val="595959"/>
        </w:rPr>
        <w:t xml:space="preserve">ροϊόντα </w:t>
      </w:r>
      <w:r w:rsidRPr="00A03225">
        <w:rPr>
          <w:rFonts w:ascii="Calibri" w:eastAsia="Calibri" w:hAnsi="Calibri" w:cs="Calibri"/>
          <w:color w:val="595959"/>
        </w:rPr>
        <w:t>(</w:t>
      </w:r>
      <w:r w:rsidRPr="00027559">
        <w:rPr>
          <w:rFonts w:ascii="Calibri" w:eastAsia="Calibri" w:hAnsi="Calibri" w:cs="Calibri"/>
          <w:color w:val="595959" w:themeColor="text1" w:themeTint="A6"/>
        </w:rPr>
        <w:t xml:space="preserve">αύξηση </w:t>
      </w:r>
      <w:r w:rsidRPr="00A03225">
        <w:rPr>
          <w:rFonts w:ascii="Calibri" w:eastAsia="Calibri" w:hAnsi="Calibri" w:cs="Calibri"/>
          <w:color w:val="595959"/>
        </w:rPr>
        <w:t>4,8</w:t>
      </w:r>
      <w:r w:rsidRPr="006F2BF2">
        <w:rPr>
          <w:rFonts w:ascii="Calibri" w:eastAsia="Calibri" w:hAnsi="Calibri" w:cs="Calibri"/>
          <w:color w:val="595959"/>
        </w:rPr>
        <w:t>%</w:t>
      </w:r>
      <w:r w:rsidRPr="00A03225">
        <w:rPr>
          <w:rFonts w:ascii="Calibri" w:eastAsia="Calibri" w:hAnsi="Calibri" w:cs="Calibri"/>
          <w:color w:val="595959"/>
        </w:rPr>
        <w:t>)</w:t>
      </w:r>
      <w:r>
        <w:rPr>
          <w:rFonts w:ascii="Calibri" w:eastAsia="Calibri" w:hAnsi="Calibri" w:cs="Calibri"/>
          <w:color w:val="595959"/>
        </w:rPr>
        <w:t xml:space="preserve"> ενώ</w:t>
      </w:r>
      <w:r w:rsidRPr="00A03225">
        <w:rPr>
          <w:rFonts w:ascii="Calibri" w:eastAsia="Calibri" w:hAnsi="Calibri" w:cs="Calibri"/>
          <w:color w:val="595959"/>
        </w:rPr>
        <w:t xml:space="preserve"> </w:t>
      </w:r>
      <w:r>
        <w:rPr>
          <w:rFonts w:ascii="Calibri" w:eastAsia="Calibri" w:hAnsi="Calibri" w:cs="Calibri"/>
          <w:color w:val="595959"/>
        </w:rPr>
        <w:t>α</w:t>
      </w:r>
      <w:r w:rsidRPr="006F2BF2">
        <w:rPr>
          <w:rFonts w:ascii="Calibri" w:eastAsia="Calibri" w:hAnsi="Calibri" w:cs="Calibri"/>
          <w:color w:val="595959"/>
        </w:rPr>
        <w:t xml:space="preserve">ρνητική συμβολή είχαν τα </w:t>
      </w:r>
      <w:r>
        <w:rPr>
          <w:rFonts w:ascii="Calibri" w:eastAsia="Calibri" w:hAnsi="Calibri" w:cs="Calibri"/>
          <w:color w:val="595959"/>
        </w:rPr>
        <w:t>Α</w:t>
      </w:r>
      <w:r w:rsidRPr="006F2BF2">
        <w:rPr>
          <w:rFonts w:ascii="Calibri" w:eastAsia="Calibri" w:hAnsi="Calibri" w:cs="Calibri"/>
          <w:color w:val="595959"/>
        </w:rPr>
        <w:t xml:space="preserve">γροτικά </w:t>
      </w:r>
      <w:r>
        <w:rPr>
          <w:rFonts w:ascii="Calibri" w:eastAsia="Calibri" w:hAnsi="Calibri" w:cs="Calibri"/>
          <w:color w:val="595959"/>
        </w:rPr>
        <w:t>Π</w:t>
      </w:r>
      <w:r w:rsidRPr="006F2BF2">
        <w:rPr>
          <w:rFonts w:ascii="Calibri" w:eastAsia="Calibri" w:hAnsi="Calibri" w:cs="Calibri"/>
          <w:color w:val="595959"/>
        </w:rPr>
        <w:t>ροϊόντα (</w:t>
      </w:r>
      <w:r w:rsidRPr="00027559">
        <w:rPr>
          <w:rFonts w:ascii="Calibri" w:eastAsia="Calibri" w:hAnsi="Calibri" w:cs="Calibri"/>
          <w:color w:val="595959" w:themeColor="text1" w:themeTint="A6"/>
        </w:rPr>
        <w:t xml:space="preserve">μείωση </w:t>
      </w:r>
      <w:r w:rsidRPr="00A03225">
        <w:rPr>
          <w:rFonts w:ascii="Calibri" w:eastAsia="Calibri" w:hAnsi="Calibri" w:cs="Calibri"/>
          <w:color w:val="595959"/>
        </w:rPr>
        <w:t>6,9</w:t>
      </w:r>
      <w:r w:rsidRPr="006F2BF2">
        <w:rPr>
          <w:rFonts w:ascii="Calibri" w:eastAsia="Calibri" w:hAnsi="Calibri" w:cs="Calibri"/>
          <w:color w:val="595959"/>
        </w:rPr>
        <w:t xml:space="preserve">%). </w:t>
      </w:r>
      <w:r w:rsidRPr="00027559">
        <w:rPr>
          <w:rFonts w:ascii="Calibri" w:eastAsia="Calibri" w:hAnsi="Calibri" w:cs="Calibri"/>
          <w:color w:val="595959" w:themeColor="text1" w:themeTint="A6"/>
        </w:rPr>
        <w:t xml:space="preserve">Η </w:t>
      </w:r>
      <w:bookmarkStart w:id="38" w:name="_Hlk97314871"/>
      <w:r w:rsidRPr="00027559">
        <w:rPr>
          <w:rFonts w:ascii="Calibri" w:eastAsia="Calibri" w:hAnsi="Calibri" w:cs="Calibri"/>
          <w:color w:val="595959" w:themeColor="text1" w:themeTint="A6"/>
        </w:rPr>
        <w:t xml:space="preserve">αύξηση </w:t>
      </w:r>
      <w:bookmarkEnd w:id="38"/>
      <w:r w:rsidRPr="00027559">
        <w:rPr>
          <w:rFonts w:ascii="Calibri" w:eastAsia="Calibri" w:hAnsi="Calibri" w:cs="Calibri"/>
          <w:color w:val="595959" w:themeColor="text1" w:themeTint="A6"/>
        </w:rPr>
        <w:t xml:space="preserve">των Επενδύσεων για το </w:t>
      </w:r>
      <w:r>
        <w:rPr>
          <w:rFonts w:ascii="Calibri" w:eastAsia="Calibri" w:hAnsi="Calibri" w:cs="Calibri"/>
          <w:color w:val="595959" w:themeColor="text1" w:themeTint="A6"/>
        </w:rPr>
        <w:t>τέταρτο</w:t>
      </w:r>
      <w:r w:rsidRPr="00027559">
        <w:rPr>
          <w:rFonts w:ascii="Calibri" w:eastAsia="Calibri" w:hAnsi="Calibri" w:cs="Calibri"/>
          <w:color w:val="595959" w:themeColor="text1" w:themeTint="A6"/>
        </w:rPr>
        <w:t xml:space="preserve"> τρίμηνο του 2021 </w:t>
      </w:r>
      <w:hyperlink r:id="rId24" w:history="1">
        <w:r w:rsidRPr="00027559">
          <w:rPr>
            <w:rFonts w:ascii="Calibri" w:eastAsia="Calibri" w:hAnsi="Calibri" w:cs="Calibri"/>
            <w:color w:val="595959" w:themeColor="text1" w:themeTint="A6"/>
            <w:u w:val="single"/>
          </w:rPr>
          <w:t>οφείλεται</w:t>
        </w:r>
      </w:hyperlink>
      <w:r w:rsidRPr="00027559">
        <w:rPr>
          <w:rFonts w:ascii="Calibri" w:eastAsia="Calibri" w:hAnsi="Calibri" w:cs="Calibri"/>
          <w:color w:val="595959" w:themeColor="text1" w:themeTint="A6"/>
        </w:rPr>
        <w:t xml:space="preserve"> κυρίως στις κατηγορίες Μηχανολογικός Εξοπλισμός και Οπλικά Συστήματα </w:t>
      </w:r>
      <w:r w:rsidRPr="00027559">
        <w:rPr>
          <w:rFonts w:ascii="Calibri" w:eastAsia="Calibri" w:hAnsi="Calibri" w:cs="Calibri"/>
          <w:color w:val="595959" w:themeColor="text1" w:themeTint="A6"/>
        </w:rPr>
        <w:lastRenderedPageBreak/>
        <w:t xml:space="preserve">(ετήσια αύξηση </w:t>
      </w:r>
      <w:r>
        <w:rPr>
          <w:rFonts w:ascii="Calibri" w:eastAsia="Calibri" w:hAnsi="Calibri" w:cs="Calibri"/>
          <w:color w:val="595959" w:themeColor="text1" w:themeTint="A6"/>
        </w:rPr>
        <w:t>99,4</w:t>
      </w:r>
      <w:r w:rsidRPr="00027559">
        <w:rPr>
          <w:rFonts w:ascii="Calibri" w:eastAsia="Calibri" w:hAnsi="Calibri" w:cs="Calibri"/>
          <w:color w:val="595959" w:themeColor="text1" w:themeTint="A6"/>
        </w:rPr>
        <w:t xml:space="preserve">%), Εξοπλισμός Τεχνολογίας Πληροφορικής και Επικοινωνίας (ετήσια αύξηση </w:t>
      </w:r>
      <w:r>
        <w:rPr>
          <w:rFonts w:ascii="Calibri" w:eastAsia="Calibri" w:hAnsi="Calibri" w:cs="Calibri"/>
          <w:color w:val="595959" w:themeColor="text1" w:themeTint="A6"/>
        </w:rPr>
        <w:t>11,2</w:t>
      </w:r>
      <w:r w:rsidRPr="00027559">
        <w:rPr>
          <w:rFonts w:ascii="Calibri" w:eastAsia="Calibri" w:hAnsi="Calibri" w:cs="Calibri"/>
          <w:color w:val="595959" w:themeColor="text1" w:themeTint="A6"/>
        </w:rPr>
        <w:t>%),</w:t>
      </w:r>
      <w:r w:rsidRPr="002C6072">
        <w:rPr>
          <w:rFonts w:ascii="Calibri" w:eastAsia="Calibri" w:hAnsi="Calibri" w:cs="Calibri"/>
          <w:color w:val="595959" w:themeColor="text1" w:themeTint="A6"/>
        </w:rPr>
        <w:t xml:space="preserve"> </w:t>
      </w:r>
      <w:r w:rsidRPr="00027559">
        <w:rPr>
          <w:rFonts w:ascii="Calibri" w:eastAsia="Calibri" w:hAnsi="Calibri" w:cs="Calibri"/>
          <w:color w:val="595959" w:themeColor="text1" w:themeTint="A6"/>
        </w:rPr>
        <w:t>Κατοικίες (</w:t>
      </w:r>
      <w:bookmarkStart w:id="39" w:name="_Hlk97316380"/>
      <w:r w:rsidRPr="00027559">
        <w:rPr>
          <w:rFonts w:ascii="Calibri" w:eastAsia="Calibri" w:hAnsi="Calibri" w:cs="Calibri"/>
          <w:color w:val="595959" w:themeColor="text1" w:themeTint="A6"/>
        </w:rPr>
        <w:t xml:space="preserve">ετήσια αύξηση </w:t>
      </w:r>
      <w:bookmarkEnd w:id="39"/>
      <w:r>
        <w:rPr>
          <w:rFonts w:ascii="Calibri" w:eastAsia="Calibri" w:hAnsi="Calibri" w:cs="Calibri"/>
          <w:color w:val="595959" w:themeColor="text1" w:themeTint="A6"/>
        </w:rPr>
        <w:t>5,9</w:t>
      </w:r>
      <w:r w:rsidRPr="00027559">
        <w:rPr>
          <w:rFonts w:ascii="Calibri" w:eastAsia="Calibri" w:hAnsi="Calibri" w:cs="Calibri"/>
          <w:color w:val="595959" w:themeColor="text1" w:themeTint="A6"/>
        </w:rPr>
        <w:t>%)</w:t>
      </w:r>
      <w:r>
        <w:rPr>
          <w:rFonts w:ascii="Calibri" w:eastAsia="Calibri" w:hAnsi="Calibri" w:cs="Calibri"/>
          <w:color w:val="595959" w:themeColor="text1" w:themeTint="A6"/>
        </w:rPr>
        <w:t xml:space="preserve"> και</w:t>
      </w:r>
      <w:r w:rsidRPr="00027559">
        <w:rPr>
          <w:rFonts w:ascii="Calibri" w:eastAsia="Calibri" w:hAnsi="Calibri" w:cs="Calibri"/>
          <w:color w:val="595959" w:themeColor="text1" w:themeTint="A6"/>
        </w:rPr>
        <w:t xml:space="preserve"> Άλλα Προϊόντα (ετήσια αύξηση </w:t>
      </w:r>
      <w:r>
        <w:rPr>
          <w:rFonts w:ascii="Calibri" w:eastAsia="Calibri" w:hAnsi="Calibri" w:cs="Calibri"/>
          <w:color w:val="595959" w:themeColor="text1" w:themeTint="A6"/>
        </w:rPr>
        <w:t>3,8</w:t>
      </w:r>
      <w:r w:rsidRPr="00027559">
        <w:rPr>
          <w:rFonts w:ascii="Calibri" w:eastAsia="Calibri" w:hAnsi="Calibri" w:cs="Calibri"/>
          <w:color w:val="595959" w:themeColor="text1" w:themeTint="A6"/>
        </w:rPr>
        <w:t>%),</w:t>
      </w:r>
      <w:r>
        <w:rPr>
          <w:rFonts w:ascii="Calibri" w:eastAsia="Calibri" w:hAnsi="Calibri" w:cs="Calibri"/>
          <w:color w:val="595959" w:themeColor="text1" w:themeTint="A6"/>
        </w:rPr>
        <w:t xml:space="preserve"> </w:t>
      </w:r>
      <w:r w:rsidRPr="00027559">
        <w:rPr>
          <w:rFonts w:ascii="Calibri" w:eastAsia="Calibri" w:hAnsi="Calibri" w:cs="Calibri"/>
          <w:color w:val="595959" w:themeColor="text1" w:themeTint="A6"/>
        </w:rPr>
        <w:t>ενώ αρνητική συμβολή παρουσίασ</w:t>
      </w:r>
      <w:r>
        <w:rPr>
          <w:rFonts w:ascii="Calibri" w:eastAsia="Calibri" w:hAnsi="Calibri" w:cs="Calibri"/>
          <w:color w:val="595959" w:themeColor="text1" w:themeTint="A6"/>
        </w:rPr>
        <w:t xml:space="preserve">αν οι κατηγορίες </w:t>
      </w:r>
      <w:r w:rsidRPr="00027559">
        <w:rPr>
          <w:rFonts w:ascii="Calibri" w:eastAsia="Calibri" w:hAnsi="Calibri" w:cs="Calibri"/>
          <w:color w:val="595959" w:themeColor="text1" w:themeTint="A6"/>
        </w:rPr>
        <w:t xml:space="preserve">Αγροτικά Προϊόντα (ετήσια μείωση </w:t>
      </w:r>
      <w:r>
        <w:rPr>
          <w:rFonts w:ascii="Calibri" w:eastAsia="Calibri" w:hAnsi="Calibri" w:cs="Calibri"/>
          <w:color w:val="595959" w:themeColor="text1" w:themeTint="A6"/>
        </w:rPr>
        <w:t>13,8</w:t>
      </w:r>
      <w:r w:rsidRPr="00027559">
        <w:rPr>
          <w:rFonts w:ascii="Calibri" w:eastAsia="Calibri" w:hAnsi="Calibri" w:cs="Calibri"/>
          <w:color w:val="595959" w:themeColor="text1" w:themeTint="A6"/>
        </w:rPr>
        <w:t>%)</w:t>
      </w:r>
      <w:r>
        <w:rPr>
          <w:rFonts w:ascii="Calibri" w:eastAsia="Calibri" w:hAnsi="Calibri" w:cs="Calibri"/>
          <w:color w:val="595959" w:themeColor="text1" w:themeTint="A6"/>
        </w:rPr>
        <w:t xml:space="preserve">, </w:t>
      </w:r>
      <w:r w:rsidRPr="00027559">
        <w:rPr>
          <w:rFonts w:ascii="Calibri" w:eastAsia="Calibri" w:hAnsi="Calibri" w:cs="Calibri"/>
          <w:color w:val="595959" w:themeColor="text1" w:themeTint="A6"/>
        </w:rPr>
        <w:t xml:space="preserve">Άλλες Κατασκευές (ετήσια </w:t>
      </w:r>
      <w:r>
        <w:rPr>
          <w:rFonts w:ascii="Calibri" w:eastAsia="Calibri" w:hAnsi="Calibri" w:cs="Calibri"/>
          <w:color w:val="595959" w:themeColor="text1" w:themeTint="A6"/>
        </w:rPr>
        <w:t>μείωση 7,7</w:t>
      </w:r>
      <w:r w:rsidRPr="00027559">
        <w:rPr>
          <w:rFonts w:ascii="Calibri" w:eastAsia="Calibri" w:hAnsi="Calibri" w:cs="Calibri"/>
          <w:color w:val="595959" w:themeColor="text1" w:themeTint="A6"/>
        </w:rPr>
        <w:t>%)</w:t>
      </w:r>
      <w:r>
        <w:rPr>
          <w:rFonts w:ascii="Calibri" w:eastAsia="Calibri" w:hAnsi="Calibri" w:cs="Calibri"/>
          <w:color w:val="595959" w:themeColor="text1" w:themeTint="A6"/>
        </w:rPr>
        <w:t xml:space="preserve"> και </w:t>
      </w:r>
      <w:r w:rsidRPr="00027559">
        <w:rPr>
          <w:rFonts w:ascii="Calibri" w:eastAsia="Calibri" w:hAnsi="Calibri" w:cs="Calibri"/>
          <w:color w:val="595959" w:themeColor="text1" w:themeTint="A6"/>
        </w:rPr>
        <w:t xml:space="preserve">Μεταφορικός Εξοπλισμός (ετήσια </w:t>
      </w:r>
      <w:r>
        <w:rPr>
          <w:rFonts w:ascii="Calibri" w:eastAsia="Calibri" w:hAnsi="Calibri" w:cs="Calibri"/>
          <w:color w:val="595959" w:themeColor="text1" w:themeTint="A6"/>
        </w:rPr>
        <w:t>μείωση</w:t>
      </w:r>
      <w:r w:rsidRPr="00027559">
        <w:rPr>
          <w:rFonts w:ascii="Calibri" w:eastAsia="Calibri" w:hAnsi="Calibri" w:cs="Calibri"/>
          <w:color w:val="595959" w:themeColor="text1" w:themeTint="A6"/>
        </w:rPr>
        <w:t xml:space="preserve"> </w:t>
      </w:r>
      <w:r>
        <w:rPr>
          <w:rFonts w:ascii="Calibri" w:eastAsia="Calibri" w:hAnsi="Calibri" w:cs="Calibri"/>
          <w:color w:val="595959" w:themeColor="text1" w:themeTint="A6"/>
        </w:rPr>
        <w:t>2,0</w:t>
      </w:r>
      <w:r w:rsidRPr="00027559">
        <w:rPr>
          <w:rFonts w:ascii="Calibri" w:eastAsia="Calibri" w:hAnsi="Calibri" w:cs="Calibri"/>
          <w:color w:val="595959" w:themeColor="text1" w:themeTint="A6"/>
        </w:rPr>
        <w:t>%)</w:t>
      </w:r>
      <w:r>
        <w:rPr>
          <w:rFonts w:ascii="Calibri" w:eastAsia="Calibri" w:hAnsi="Calibri" w:cs="Calibri"/>
          <w:color w:val="595959" w:themeColor="text1" w:themeTint="A6"/>
        </w:rPr>
        <w:t>.</w:t>
      </w:r>
    </w:p>
    <w:p w14:paraId="5D813A49" w14:textId="77777777" w:rsidR="00EA763A" w:rsidRDefault="00EA763A" w:rsidP="00EA763A">
      <w:pPr>
        <w:autoSpaceDE w:val="0"/>
        <w:autoSpaceDN w:val="0"/>
        <w:adjustRightInd w:val="0"/>
        <w:spacing w:line="276" w:lineRule="auto"/>
        <w:jc w:val="both"/>
        <w:rPr>
          <w:rFonts w:ascii="Calibri" w:eastAsia="Calibri" w:hAnsi="Calibri" w:cs="Calibri"/>
          <w:color w:val="595959" w:themeColor="text1" w:themeTint="A6"/>
        </w:rPr>
      </w:pPr>
      <w:r>
        <w:rPr>
          <w:rFonts w:ascii="Calibri" w:eastAsia="Calibri" w:hAnsi="Calibri" w:cs="Calibri"/>
          <w:color w:val="595959" w:themeColor="text1" w:themeTint="A6"/>
        </w:rPr>
        <w:t>Σημειώνουμε, τέλος, ότι το συνολικό ΑΕΠ διαμορφώθηκε στα 182.830 εκατ. ευρώ σε ονομαστικούς όρους ή στα 181.005 εκατ. ευρώ σε πραγματικούς όρους (σταθερές τιμές 2015). Παραμένει, συνεπώς, χαμηλότερο κατά 1,4% από το επίπεδο του 2019 (183.640 εκατ. ευρώ σε τιμές 2015).</w:t>
      </w:r>
    </w:p>
    <w:p w14:paraId="41A5E93F" w14:textId="77777777" w:rsidR="00896228" w:rsidRDefault="00896228" w:rsidP="006F299D">
      <w:pPr>
        <w:autoSpaceDE w:val="0"/>
        <w:autoSpaceDN w:val="0"/>
        <w:adjustRightInd w:val="0"/>
        <w:spacing w:after="0" w:line="276" w:lineRule="auto"/>
        <w:jc w:val="both"/>
        <w:rPr>
          <w:rFonts w:ascii="Calibri" w:eastAsia="Calibri" w:hAnsi="Calibri" w:cs="Calibri"/>
          <w:color w:val="595959"/>
        </w:rPr>
      </w:pPr>
    </w:p>
    <w:p w14:paraId="14F1F0DA" w14:textId="77777777" w:rsidR="00D20D04" w:rsidRDefault="00D20D04" w:rsidP="00EC4E8B">
      <w:pPr>
        <w:pStyle w:val="Heading3"/>
        <w:spacing w:before="0"/>
      </w:pPr>
      <w:bookmarkStart w:id="40" w:name="_Toc90033336"/>
      <w:bookmarkStart w:id="41" w:name="_Toc98160518"/>
      <w:r w:rsidRPr="004209C8">
        <w:t>Προβλέψεις</w:t>
      </w:r>
      <w:bookmarkEnd w:id="40"/>
      <w:r>
        <w:t xml:space="preserve"> για το 2022</w:t>
      </w:r>
      <w:bookmarkEnd w:id="41"/>
    </w:p>
    <w:p w14:paraId="20B1A24E" w14:textId="77777777" w:rsidR="00EC4E8B" w:rsidRPr="00EC4E8B" w:rsidRDefault="00EC4E8B" w:rsidP="00EC4E8B">
      <w:pPr>
        <w:spacing w:after="0"/>
      </w:pPr>
    </w:p>
    <w:p w14:paraId="59AC4C46" w14:textId="77777777" w:rsidR="00547E08" w:rsidRDefault="006E27C5" w:rsidP="00A40AB4">
      <w:pPr>
        <w:autoSpaceDE w:val="0"/>
        <w:autoSpaceDN w:val="0"/>
        <w:adjustRightInd w:val="0"/>
        <w:spacing w:before="240" w:after="0" w:line="276" w:lineRule="auto"/>
        <w:jc w:val="both"/>
        <w:rPr>
          <w:rFonts w:ascii="Calibri" w:eastAsia="Calibri" w:hAnsi="Calibri" w:cs="Calibri"/>
          <w:color w:val="595959"/>
        </w:rPr>
      </w:pPr>
      <w:r w:rsidRPr="00107718">
        <w:rPr>
          <w:rFonts w:ascii="Calibri" w:eastAsia="Calibri" w:hAnsi="Calibri" w:cs="Calibri"/>
          <w:color w:val="595959"/>
        </w:rPr>
        <w:t xml:space="preserve">Για το 2022 προβλέπουμε ρυθμό μεγέθυνσης μεταξύ </w:t>
      </w:r>
      <w:r w:rsidR="00107718" w:rsidRPr="00107718">
        <w:rPr>
          <w:rFonts w:ascii="Calibri" w:eastAsia="Calibri" w:hAnsi="Calibri" w:cs="Calibri"/>
          <w:color w:val="595959"/>
        </w:rPr>
        <w:t>2,21</w:t>
      </w:r>
      <w:r w:rsidRPr="00107718">
        <w:rPr>
          <w:rFonts w:ascii="Calibri" w:eastAsia="Calibri" w:hAnsi="Calibri" w:cs="Calibri"/>
          <w:color w:val="595959"/>
        </w:rPr>
        <w:t>% (δυσμενές σενάριο) και 2,75% (</w:t>
      </w:r>
      <w:r w:rsidR="00582BCB" w:rsidRPr="00107718">
        <w:rPr>
          <w:rFonts w:ascii="Calibri" w:eastAsia="Calibri" w:hAnsi="Calibri" w:cs="Calibri"/>
          <w:color w:val="595959"/>
        </w:rPr>
        <w:t xml:space="preserve">ήπιο </w:t>
      </w:r>
      <w:r w:rsidRPr="00107718">
        <w:rPr>
          <w:rFonts w:ascii="Calibri" w:eastAsia="Calibri" w:hAnsi="Calibri" w:cs="Calibri"/>
          <w:color w:val="595959"/>
        </w:rPr>
        <w:t xml:space="preserve">σενάριο). Οι προβλέψεις έχουν παραχθεί με τη χρήση του οικονομετρικού υποδείγματος </w:t>
      </w:r>
      <w:r w:rsidRPr="00107718">
        <w:rPr>
          <w:rFonts w:ascii="Calibri" w:eastAsia="Calibri" w:hAnsi="Calibri" w:cs="Calibri"/>
          <w:color w:val="595959"/>
          <w:lang w:val="en-US"/>
        </w:rPr>
        <w:t>NIGEM</w:t>
      </w:r>
      <w:r w:rsidRPr="00107718">
        <w:rPr>
          <w:rFonts w:ascii="Calibri" w:eastAsia="Calibri" w:hAnsi="Calibri" w:cs="Calibri"/>
          <w:color w:val="595959"/>
        </w:rPr>
        <w:t xml:space="preserve"> εισάγοντας μια σειρά διαταραχών στο σενάριο αναφοράς που είχαμε πριν από την έναρξη </w:t>
      </w:r>
      <w:r w:rsidR="007E18AD" w:rsidRPr="00107718">
        <w:rPr>
          <w:rFonts w:ascii="Calibri" w:eastAsia="Calibri" w:hAnsi="Calibri" w:cs="Calibri"/>
          <w:color w:val="595959"/>
        </w:rPr>
        <w:t xml:space="preserve">της Ρωσικής εισβολής </w:t>
      </w:r>
      <w:r w:rsidRPr="00107718">
        <w:rPr>
          <w:rFonts w:ascii="Calibri" w:eastAsia="Calibri" w:hAnsi="Calibri" w:cs="Calibri"/>
          <w:color w:val="595959"/>
        </w:rPr>
        <w:t xml:space="preserve">στην Ουκρανία (πρόβλεψη μεγέθυνσης 3,58%). </w:t>
      </w:r>
      <w:r w:rsidR="0006351F" w:rsidRPr="00107718">
        <w:rPr>
          <w:rFonts w:ascii="Calibri" w:eastAsia="Calibri" w:hAnsi="Calibri" w:cs="Calibri"/>
          <w:color w:val="595959"/>
        </w:rPr>
        <w:t>Όσον αφορά τον πληθωρισμό</w:t>
      </w:r>
      <w:r w:rsidR="00A40AB4" w:rsidRPr="00107718">
        <w:rPr>
          <w:rFonts w:ascii="Calibri" w:eastAsia="Calibri" w:hAnsi="Calibri" w:cs="Calibri"/>
          <w:color w:val="595959"/>
        </w:rPr>
        <w:t xml:space="preserve">, το σενάριο αναφοράς προέβλεπε 6,99% και αυξάνεται 7,43% στο ήπιο σενάριο και </w:t>
      </w:r>
      <w:r w:rsidR="00107718" w:rsidRPr="00107718">
        <w:rPr>
          <w:rFonts w:ascii="Calibri" w:eastAsia="Calibri" w:hAnsi="Calibri" w:cs="Calibri"/>
          <w:color w:val="595959"/>
        </w:rPr>
        <w:t>11,01</w:t>
      </w:r>
      <w:r w:rsidR="00A40AB4" w:rsidRPr="00107718">
        <w:rPr>
          <w:rFonts w:ascii="Calibri" w:eastAsia="Calibri" w:hAnsi="Calibri" w:cs="Calibri"/>
          <w:color w:val="595959"/>
        </w:rPr>
        <w:t>% στο δυσμενές σενάριο.</w:t>
      </w:r>
    </w:p>
    <w:p w14:paraId="41F6ED46" w14:textId="77777777" w:rsidR="00547E08" w:rsidRDefault="00547E08" w:rsidP="00A40AB4">
      <w:pPr>
        <w:autoSpaceDE w:val="0"/>
        <w:autoSpaceDN w:val="0"/>
        <w:adjustRightInd w:val="0"/>
        <w:spacing w:before="240" w:after="0" w:line="276" w:lineRule="auto"/>
        <w:jc w:val="both"/>
        <w:rPr>
          <w:rFonts w:ascii="Calibri" w:eastAsia="Calibri" w:hAnsi="Calibri" w:cs="Calibri"/>
          <w:color w:val="595959"/>
        </w:rPr>
      </w:pPr>
      <w:r>
        <w:rPr>
          <w:rFonts w:ascii="Calibri" w:eastAsia="Calibri" w:hAnsi="Calibri" w:cs="Calibri"/>
          <w:color w:val="595959"/>
        </w:rPr>
        <w:t xml:space="preserve">Οι επιπτώσεις του πολέμου στην Ουκρανία είναι δύσκολο να ποσοτικοποιηθούν </w:t>
      </w:r>
      <w:r w:rsidR="00F53F1B">
        <w:rPr>
          <w:rFonts w:ascii="Calibri" w:eastAsia="Calibri" w:hAnsi="Calibri" w:cs="Calibri"/>
          <w:color w:val="595959"/>
        </w:rPr>
        <w:t xml:space="preserve">με </w:t>
      </w:r>
      <w:r w:rsidR="00A40AB4">
        <w:rPr>
          <w:rFonts w:ascii="Calibri" w:eastAsia="Calibri" w:hAnsi="Calibri" w:cs="Calibri"/>
          <w:color w:val="595959"/>
        </w:rPr>
        <w:t>ακρίβεια</w:t>
      </w:r>
      <w:r>
        <w:rPr>
          <w:rFonts w:ascii="Calibri" w:eastAsia="Calibri" w:hAnsi="Calibri" w:cs="Calibri"/>
          <w:color w:val="595959"/>
        </w:rPr>
        <w:t>, ωστόσο μπορεί να εκληφθ</w:t>
      </w:r>
      <w:r w:rsidR="007E18AD">
        <w:rPr>
          <w:rFonts w:ascii="Calibri" w:eastAsia="Calibri" w:hAnsi="Calibri" w:cs="Calibri"/>
          <w:color w:val="595959"/>
        </w:rPr>
        <w:t>ούν</w:t>
      </w:r>
      <w:r>
        <w:rPr>
          <w:rFonts w:ascii="Calibri" w:eastAsia="Calibri" w:hAnsi="Calibri" w:cs="Calibri"/>
          <w:color w:val="595959"/>
        </w:rPr>
        <w:t xml:space="preserve"> ως μια αρνητική διαταραχή από την πλευρά της προσφοράς η οποία αναμένεται να οδηγήσει σε αύξηση του πληθωρισμού και σε υποχώρηση της οικονομικής δραστηριότητας. </w:t>
      </w:r>
      <w:r w:rsidR="00950ADC">
        <w:rPr>
          <w:rFonts w:ascii="Calibri" w:eastAsia="Calibri" w:hAnsi="Calibri" w:cs="Calibri"/>
          <w:color w:val="595959"/>
        </w:rPr>
        <w:t>Η τελική όμως επίπτωση θα εξαρτηθεί από την διάρκεια της σύγκρουσης, την τελική έκβασή της και από την αντίδραση της νομισματικής και δημοσιονομικής πολιτικής. Σε κάθε περίπτωση, όπως διαφαίνεται, οι αρνητικές επιπτώσεις</w:t>
      </w:r>
      <w:r w:rsidR="007E18AD">
        <w:rPr>
          <w:rFonts w:ascii="Calibri" w:eastAsia="Calibri" w:hAnsi="Calibri" w:cs="Calibri"/>
          <w:color w:val="595959"/>
        </w:rPr>
        <w:t xml:space="preserve"> του πολέμου</w:t>
      </w:r>
      <w:r w:rsidR="00950ADC">
        <w:rPr>
          <w:rFonts w:ascii="Calibri" w:eastAsia="Calibri" w:hAnsi="Calibri" w:cs="Calibri"/>
          <w:color w:val="595959"/>
        </w:rPr>
        <w:t xml:space="preserve"> θα μεταδοθούν στην οικονομία μέσω αρκετών καναλιών, για παράδειγμα  μέσω </w:t>
      </w:r>
      <w:r w:rsidR="006C27B1">
        <w:rPr>
          <w:rFonts w:ascii="Calibri" w:eastAsia="Calibri" w:hAnsi="Calibri" w:cs="Calibri"/>
          <w:color w:val="595959"/>
        </w:rPr>
        <w:t xml:space="preserve">της </w:t>
      </w:r>
      <w:r w:rsidR="007E18AD">
        <w:rPr>
          <w:rFonts w:ascii="Calibri" w:eastAsia="Calibri" w:hAnsi="Calibri" w:cs="Calibri"/>
          <w:color w:val="595959"/>
        </w:rPr>
        <w:t xml:space="preserve">αύξησης του κόστους ενέργειας, </w:t>
      </w:r>
      <w:r w:rsidR="006C27B1">
        <w:rPr>
          <w:rFonts w:ascii="Calibri" w:eastAsia="Calibri" w:hAnsi="Calibri" w:cs="Calibri"/>
          <w:color w:val="595959"/>
        </w:rPr>
        <w:t xml:space="preserve">του </w:t>
      </w:r>
      <w:r w:rsidR="00950ADC">
        <w:rPr>
          <w:rFonts w:ascii="Calibri" w:eastAsia="Calibri" w:hAnsi="Calibri" w:cs="Calibri"/>
          <w:color w:val="595959"/>
        </w:rPr>
        <w:t>περιορισμού των εμπορικών ροών,</w:t>
      </w:r>
      <w:r w:rsidR="006C27B1">
        <w:rPr>
          <w:rFonts w:ascii="Calibri" w:eastAsia="Calibri" w:hAnsi="Calibri" w:cs="Calibri"/>
          <w:color w:val="595959"/>
        </w:rPr>
        <w:t xml:space="preserve"> της</w:t>
      </w:r>
      <w:r w:rsidR="007E18AD">
        <w:rPr>
          <w:rFonts w:ascii="Calibri" w:eastAsia="Calibri" w:hAnsi="Calibri" w:cs="Calibri"/>
          <w:color w:val="595959"/>
        </w:rPr>
        <w:t xml:space="preserve"> επιδείνωση</w:t>
      </w:r>
      <w:r w:rsidR="007F345A">
        <w:rPr>
          <w:rFonts w:ascii="Calibri" w:eastAsia="Calibri" w:hAnsi="Calibri" w:cs="Calibri"/>
          <w:color w:val="595959"/>
        </w:rPr>
        <w:t xml:space="preserve">ς </w:t>
      </w:r>
      <w:r w:rsidR="007E18AD">
        <w:rPr>
          <w:rFonts w:ascii="Calibri" w:eastAsia="Calibri" w:hAnsi="Calibri" w:cs="Calibri"/>
          <w:color w:val="595959"/>
        </w:rPr>
        <w:t xml:space="preserve">της εμπιστοσύνης </w:t>
      </w:r>
      <w:r w:rsidR="006C27B1">
        <w:rPr>
          <w:rFonts w:ascii="Calibri" w:eastAsia="Calibri" w:hAnsi="Calibri" w:cs="Calibri"/>
          <w:color w:val="595959"/>
        </w:rPr>
        <w:t xml:space="preserve">καθώς </w:t>
      </w:r>
      <w:r w:rsidR="007E18AD">
        <w:rPr>
          <w:rFonts w:ascii="Calibri" w:eastAsia="Calibri" w:hAnsi="Calibri" w:cs="Calibri"/>
          <w:color w:val="595959"/>
        </w:rPr>
        <w:t xml:space="preserve">και </w:t>
      </w:r>
      <w:r w:rsidR="006C27B1">
        <w:rPr>
          <w:rFonts w:ascii="Calibri" w:eastAsia="Calibri" w:hAnsi="Calibri" w:cs="Calibri"/>
          <w:color w:val="595959"/>
        </w:rPr>
        <w:t xml:space="preserve">μέσω </w:t>
      </w:r>
      <w:r w:rsidR="007E18AD">
        <w:rPr>
          <w:rFonts w:ascii="Calibri" w:eastAsia="Calibri" w:hAnsi="Calibri" w:cs="Calibri"/>
          <w:color w:val="595959"/>
        </w:rPr>
        <w:t>αναταραχ</w:t>
      </w:r>
      <w:r w:rsidR="006C27B1">
        <w:rPr>
          <w:rFonts w:ascii="Calibri" w:eastAsia="Calibri" w:hAnsi="Calibri" w:cs="Calibri"/>
          <w:color w:val="595959"/>
        </w:rPr>
        <w:t xml:space="preserve">ών </w:t>
      </w:r>
      <w:r w:rsidR="007E18AD">
        <w:rPr>
          <w:rFonts w:ascii="Calibri" w:eastAsia="Calibri" w:hAnsi="Calibri" w:cs="Calibri"/>
          <w:color w:val="595959"/>
        </w:rPr>
        <w:t xml:space="preserve">στις </w:t>
      </w:r>
      <w:r w:rsidR="00C5499C">
        <w:rPr>
          <w:rFonts w:ascii="Calibri" w:eastAsia="Calibri" w:hAnsi="Calibri" w:cs="Calibri"/>
          <w:color w:val="595959"/>
        </w:rPr>
        <w:t xml:space="preserve">διεθνείς </w:t>
      </w:r>
      <w:r w:rsidR="007E18AD">
        <w:rPr>
          <w:rFonts w:ascii="Calibri" w:eastAsia="Calibri" w:hAnsi="Calibri" w:cs="Calibri"/>
          <w:color w:val="595959"/>
        </w:rPr>
        <w:t xml:space="preserve">χρηματοπιστωτικές αγορές.  </w:t>
      </w:r>
    </w:p>
    <w:p w14:paraId="38F97A16" w14:textId="77777777" w:rsidR="00A352E9" w:rsidRDefault="007E18AD" w:rsidP="00A40AB4">
      <w:pPr>
        <w:autoSpaceDE w:val="0"/>
        <w:autoSpaceDN w:val="0"/>
        <w:adjustRightInd w:val="0"/>
        <w:spacing w:before="240" w:after="0" w:line="276" w:lineRule="auto"/>
        <w:jc w:val="both"/>
        <w:rPr>
          <w:rFonts w:ascii="Calibri" w:eastAsia="Calibri" w:hAnsi="Calibri" w:cs="Calibri"/>
          <w:color w:val="595959"/>
        </w:rPr>
      </w:pPr>
      <w:r>
        <w:rPr>
          <w:rFonts w:ascii="Calibri" w:eastAsia="Calibri" w:hAnsi="Calibri" w:cs="Calibri"/>
          <w:color w:val="595959"/>
        </w:rPr>
        <w:t xml:space="preserve">Προκειμένου </w:t>
      </w:r>
      <w:r w:rsidR="006C27B1">
        <w:rPr>
          <w:rFonts w:ascii="Calibri" w:eastAsia="Calibri" w:hAnsi="Calibri" w:cs="Calibri"/>
          <w:color w:val="595959"/>
        </w:rPr>
        <w:t xml:space="preserve">να </w:t>
      </w:r>
      <w:r>
        <w:rPr>
          <w:rFonts w:ascii="Calibri" w:eastAsia="Calibri" w:hAnsi="Calibri" w:cs="Calibri"/>
          <w:color w:val="595959"/>
        </w:rPr>
        <w:t>εξεταστούν οι πιθανές οικονομικές επιπτώσεις του πολέμου εισήχθησαν στο υπόδειγμα οι ακόλουθες διαταραχές</w:t>
      </w:r>
      <w:r w:rsidR="00B94C60">
        <w:rPr>
          <w:rFonts w:ascii="Calibri" w:eastAsia="Calibri" w:hAnsi="Calibri" w:cs="Calibri"/>
          <w:color w:val="595959"/>
        </w:rPr>
        <w:t xml:space="preserve"> </w:t>
      </w:r>
      <w:r w:rsidR="00A352E9">
        <w:rPr>
          <w:rFonts w:ascii="Calibri" w:eastAsia="Calibri" w:hAnsi="Calibri" w:cs="Calibri"/>
          <w:color w:val="595959"/>
        </w:rPr>
        <w:t xml:space="preserve">(βλ. Πίνακα </w:t>
      </w:r>
      <w:r w:rsidR="00B94C60">
        <w:rPr>
          <w:rFonts w:ascii="Calibri" w:eastAsia="Calibri" w:hAnsi="Calibri" w:cs="Calibri"/>
          <w:color w:val="595959"/>
        </w:rPr>
        <w:t>2</w:t>
      </w:r>
      <w:r w:rsidR="00A352E9">
        <w:rPr>
          <w:rFonts w:ascii="Calibri" w:eastAsia="Calibri" w:hAnsi="Calibri" w:cs="Calibri"/>
          <w:color w:val="595959"/>
        </w:rPr>
        <w:t>)</w:t>
      </w:r>
      <w:r w:rsidRPr="00F66710">
        <w:rPr>
          <w:rFonts w:ascii="Calibri" w:eastAsia="Calibri" w:hAnsi="Calibri" w:cs="Calibri"/>
          <w:color w:val="595959"/>
        </w:rPr>
        <w:t xml:space="preserve">: </w:t>
      </w:r>
      <w:r>
        <w:rPr>
          <w:rFonts w:ascii="Calibri" w:eastAsia="Calibri" w:hAnsi="Calibri" w:cs="Calibri"/>
          <w:color w:val="595959"/>
        </w:rPr>
        <w:t xml:space="preserve">1) μια αύξηση του ασφάλιστρου κινδύνου για τα ιδιωτικά επιτόκια, η οποία αντιπροσωπεύει </w:t>
      </w:r>
      <w:r w:rsidR="000D6E30">
        <w:rPr>
          <w:rFonts w:ascii="Calibri" w:eastAsia="Calibri" w:hAnsi="Calibri" w:cs="Calibri"/>
          <w:color w:val="595959"/>
        </w:rPr>
        <w:t xml:space="preserve">την αύξηση της αβεβαιότητας και την χειροτέρευση του κλίματος </w:t>
      </w:r>
      <w:r>
        <w:rPr>
          <w:rFonts w:ascii="Calibri" w:eastAsia="Calibri" w:hAnsi="Calibri" w:cs="Calibri"/>
          <w:color w:val="595959"/>
        </w:rPr>
        <w:t>εμπιστοσύνη</w:t>
      </w:r>
      <w:r w:rsidR="00177CA0">
        <w:rPr>
          <w:rFonts w:ascii="Calibri" w:eastAsia="Calibri" w:hAnsi="Calibri" w:cs="Calibri"/>
          <w:color w:val="595959"/>
        </w:rPr>
        <w:t>ς,</w:t>
      </w:r>
      <w:r w:rsidR="00A352E9">
        <w:rPr>
          <w:rFonts w:ascii="Calibri" w:eastAsia="Calibri" w:hAnsi="Calibri" w:cs="Calibri"/>
          <w:color w:val="595959"/>
        </w:rPr>
        <w:t xml:space="preserve"> 2) μια αύξηση των προσφυγικών ροών, 3) μια αύξηση της δημόσιας κατανάλωσης στις ευρωπαϊκές χώρες  ώστε να ανταποκριθούν στις προσφυγικές ροές από την Ουκρανία</w:t>
      </w:r>
      <w:r w:rsidR="000D6E30">
        <w:rPr>
          <w:rFonts w:ascii="Calibri" w:eastAsia="Calibri" w:hAnsi="Calibri" w:cs="Calibri"/>
          <w:color w:val="595959"/>
        </w:rPr>
        <w:t>,</w:t>
      </w:r>
      <w:r w:rsidR="00A352E9">
        <w:rPr>
          <w:rFonts w:ascii="Calibri" w:eastAsia="Calibri" w:hAnsi="Calibri" w:cs="Calibri"/>
          <w:color w:val="595959"/>
        </w:rPr>
        <w:t xml:space="preserve"> να λάβου</w:t>
      </w:r>
      <w:r w:rsidR="004F0F32">
        <w:rPr>
          <w:rFonts w:ascii="Calibri" w:eastAsia="Calibri" w:hAnsi="Calibri" w:cs="Calibri"/>
          <w:color w:val="595959"/>
        </w:rPr>
        <w:t>ν</w:t>
      </w:r>
      <w:r w:rsidR="00A352E9">
        <w:rPr>
          <w:rFonts w:ascii="Calibri" w:eastAsia="Calibri" w:hAnsi="Calibri" w:cs="Calibri"/>
          <w:color w:val="595959"/>
        </w:rPr>
        <w:t xml:space="preserve"> μέτρα ενίσχυσης της άμυν</w:t>
      </w:r>
      <w:r w:rsidR="005D5BCB">
        <w:rPr>
          <w:rFonts w:ascii="Calibri" w:eastAsia="Calibri" w:hAnsi="Calibri" w:cs="Calibri"/>
          <w:color w:val="595959"/>
        </w:rPr>
        <w:t>ά</w:t>
      </w:r>
      <w:r w:rsidR="00A352E9">
        <w:rPr>
          <w:rFonts w:ascii="Calibri" w:eastAsia="Calibri" w:hAnsi="Calibri" w:cs="Calibri"/>
          <w:color w:val="595959"/>
        </w:rPr>
        <w:t>ς του</w:t>
      </w:r>
      <w:r w:rsidR="000D6E30">
        <w:rPr>
          <w:rFonts w:ascii="Calibri" w:eastAsia="Calibri" w:hAnsi="Calibri" w:cs="Calibri"/>
          <w:color w:val="595959"/>
        </w:rPr>
        <w:t>ς</w:t>
      </w:r>
      <w:r w:rsidR="00A352E9">
        <w:rPr>
          <w:rFonts w:ascii="Calibri" w:eastAsia="Calibri" w:hAnsi="Calibri" w:cs="Calibri"/>
          <w:color w:val="595959"/>
        </w:rPr>
        <w:t xml:space="preserve"> και να στηρίξουν τις οικονομίες τους, 4) μια υποχώρηση των εμπορικών ροών μεταξύ των χωρών </w:t>
      </w:r>
      <w:r w:rsidR="007F2AD4">
        <w:rPr>
          <w:rFonts w:ascii="Calibri" w:eastAsia="Calibri" w:hAnsi="Calibri" w:cs="Calibri"/>
          <w:color w:val="595959"/>
        </w:rPr>
        <w:t xml:space="preserve">της Δυτικής και Ανατολικής Ευρώπης, συμπεριλαμβανομένης της </w:t>
      </w:r>
      <w:r w:rsidR="00A352E9">
        <w:rPr>
          <w:rFonts w:ascii="Calibri" w:eastAsia="Calibri" w:hAnsi="Calibri" w:cs="Calibri"/>
          <w:color w:val="595959"/>
        </w:rPr>
        <w:t xml:space="preserve"> Ρωσίας</w:t>
      </w:r>
      <w:r w:rsidR="00A352E9" w:rsidRPr="00F66710">
        <w:rPr>
          <w:rFonts w:ascii="Calibri" w:eastAsia="Calibri" w:hAnsi="Calibri" w:cs="Calibri"/>
          <w:color w:val="595959"/>
        </w:rPr>
        <w:t xml:space="preserve"> </w:t>
      </w:r>
      <w:r w:rsidR="00A352E9">
        <w:rPr>
          <w:rFonts w:ascii="Calibri" w:eastAsia="Calibri" w:hAnsi="Calibri" w:cs="Calibri"/>
          <w:color w:val="595959"/>
        </w:rPr>
        <w:t xml:space="preserve"> και της Ουκρανίας, 5) μια υποτίμηση στο ρούβλι, 6) μια άνοδος στις διεθνείς τιμές των τροφίμων, 7) μια άνοδος στις διεθνείς τιμές του φυ</w:t>
      </w:r>
      <w:r w:rsidR="000D0589">
        <w:rPr>
          <w:rFonts w:ascii="Calibri" w:eastAsia="Calibri" w:hAnsi="Calibri" w:cs="Calibri"/>
          <w:color w:val="595959"/>
        </w:rPr>
        <w:t xml:space="preserve">σικού αερίου, 8) μια άνοδος της τιμής του αργού πετρελαίου, 9) </w:t>
      </w:r>
      <w:r w:rsidR="00A352E9">
        <w:rPr>
          <w:rFonts w:ascii="Calibri" w:eastAsia="Calibri" w:hAnsi="Calibri" w:cs="Calibri"/>
          <w:color w:val="595959"/>
        </w:rPr>
        <w:t xml:space="preserve">μια αύξηση του </w:t>
      </w:r>
      <w:r w:rsidR="007F2AD4">
        <w:rPr>
          <w:rFonts w:ascii="Calibri" w:eastAsia="Calibri" w:hAnsi="Calibri" w:cs="Calibri"/>
          <w:color w:val="595959"/>
        </w:rPr>
        <w:t>επιτοκίου</w:t>
      </w:r>
      <w:r w:rsidR="00A352E9">
        <w:rPr>
          <w:rFonts w:ascii="Calibri" w:eastAsia="Calibri" w:hAnsi="Calibri" w:cs="Calibri"/>
          <w:color w:val="595959"/>
        </w:rPr>
        <w:t xml:space="preserve"> των ελληνικών κρατικών ομολόγων (ως απόρροια της αυξημένης αποστροφής κινδύνου από τους διεθνείς επενδυτές </w:t>
      </w:r>
      <w:r w:rsidR="00AD2AF7">
        <w:rPr>
          <w:rFonts w:ascii="Calibri" w:eastAsia="Calibri" w:hAnsi="Calibri" w:cs="Calibri"/>
          <w:color w:val="595959"/>
        </w:rPr>
        <w:t xml:space="preserve">για επενδύσεις </w:t>
      </w:r>
      <w:r w:rsidR="00A352E9">
        <w:rPr>
          <w:rFonts w:ascii="Calibri" w:eastAsia="Calibri" w:hAnsi="Calibri" w:cs="Calibri"/>
          <w:color w:val="595959"/>
        </w:rPr>
        <w:t xml:space="preserve">σε χώρες </w:t>
      </w:r>
      <w:r w:rsidR="00A352E9">
        <w:rPr>
          <w:rFonts w:ascii="Calibri" w:eastAsia="Calibri" w:hAnsi="Calibri" w:cs="Calibri"/>
          <w:color w:val="595959"/>
        </w:rPr>
        <w:lastRenderedPageBreak/>
        <w:t xml:space="preserve">με υψηλό δημόσιο χρέος </w:t>
      </w:r>
      <w:r w:rsidR="000D6E30">
        <w:rPr>
          <w:rFonts w:ascii="Calibri" w:eastAsia="Calibri" w:hAnsi="Calibri" w:cs="Calibri"/>
          <w:color w:val="595959"/>
        </w:rPr>
        <w:t xml:space="preserve">ως </w:t>
      </w:r>
      <w:r w:rsidR="00A352E9">
        <w:rPr>
          <w:rFonts w:ascii="Calibri" w:eastAsia="Calibri" w:hAnsi="Calibri" w:cs="Calibri"/>
          <w:color w:val="595959"/>
        </w:rPr>
        <w:t xml:space="preserve">προς ΑΕΠ). </w:t>
      </w:r>
      <w:r w:rsidR="006E27C5">
        <w:rPr>
          <w:rFonts w:ascii="Calibri" w:eastAsia="Calibri" w:hAnsi="Calibri" w:cs="Calibri"/>
          <w:color w:val="595959"/>
        </w:rPr>
        <w:t xml:space="preserve">Στο σύνολο των </w:t>
      </w:r>
      <w:r w:rsidR="000D0589">
        <w:rPr>
          <w:rFonts w:ascii="Calibri" w:eastAsia="Calibri" w:hAnsi="Calibri" w:cs="Calibri"/>
          <w:color w:val="595959"/>
        </w:rPr>
        <w:t>εννιά</w:t>
      </w:r>
      <w:r w:rsidR="006E27C5">
        <w:rPr>
          <w:rFonts w:ascii="Calibri" w:eastAsia="Calibri" w:hAnsi="Calibri" w:cs="Calibri"/>
          <w:color w:val="595959"/>
        </w:rPr>
        <w:t xml:space="preserve"> διαταραχών που υποθέτουμε, </w:t>
      </w:r>
      <w:r w:rsidR="006E27C5" w:rsidRPr="00107718">
        <w:rPr>
          <w:rFonts w:ascii="Calibri" w:eastAsia="Calibri" w:hAnsi="Calibri" w:cs="Calibri"/>
          <w:color w:val="595959"/>
        </w:rPr>
        <w:t xml:space="preserve">οι πέντε είναι κοινές και στα δύο σενάρια ενώ οι υπόλοιπες </w:t>
      </w:r>
      <w:r w:rsidR="008A6A8A" w:rsidRPr="00107718">
        <w:rPr>
          <w:rFonts w:ascii="Calibri" w:eastAsia="Calibri" w:hAnsi="Calibri" w:cs="Calibri"/>
          <w:color w:val="595959"/>
        </w:rPr>
        <w:t>τέσσερις</w:t>
      </w:r>
      <w:r w:rsidR="006E27C5" w:rsidRPr="00107718">
        <w:rPr>
          <w:rFonts w:ascii="Calibri" w:eastAsia="Calibri" w:hAnsi="Calibri" w:cs="Calibri"/>
          <w:color w:val="595959"/>
        </w:rPr>
        <w:t xml:space="preserve">, που θεωρούμε κρισιμότερες, διαφοροποιούνται μεταξύ του </w:t>
      </w:r>
      <w:r w:rsidR="004C4060" w:rsidRPr="00107718">
        <w:rPr>
          <w:rFonts w:ascii="Calibri" w:eastAsia="Calibri" w:hAnsi="Calibri" w:cs="Calibri"/>
          <w:color w:val="595959"/>
        </w:rPr>
        <w:t xml:space="preserve">ήπιου </w:t>
      </w:r>
      <w:r w:rsidR="006E27C5" w:rsidRPr="00107718">
        <w:rPr>
          <w:rFonts w:ascii="Calibri" w:eastAsia="Calibri" w:hAnsi="Calibri" w:cs="Calibri"/>
          <w:color w:val="595959"/>
        </w:rPr>
        <w:t>και του δυσμενούς σεναρίου και καταλήγουν σε διαφορετικούς ρυθμούς μεγέθυνσης</w:t>
      </w:r>
      <w:r w:rsidR="008A6A8A" w:rsidRPr="00107718">
        <w:rPr>
          <w:rFonts w:ascii="Calibri" w:eastAsia="Calibri" w:hAnsi="Calibri" w:cs="Calibri"/>
          <w:color w:val="595959"/>
        </w:rPr>
        <w:t xml:space="preserve"> και πληθωρισμού</w:t>
      </w:r>
      <w:r w:rsidR="006E27C5" w:rsidRPr="00107718">
        <w:rPr>
          <w:rFonts w:ascii="Calibri" w:eastAsia="Calibri" w:hAnsi="Calibri" w:cs="Calibri"/>
          <w:color w:val="595959"/>
        </w:rPr>
        <w:t>.</w:t>
      </w:r>
      <w:r w:rsidR="00582BCB" w:rsidRPr="00107718">
        <w:rPr>
          <w:rFonts w:ascii="Calibri" w:eastAsia="Calibri" w:hAnsi="Calibri" w:cs="Calibri"/>
          <w:color w:val="595959"/>
        </w:rPr>
        <w:t xml:space="preserve"> </w:t>
      </w:r>
      <w:r w:rsidR="008C0CB4" w:rsidRPr="00107718">
        <w:rPr>
          <w:rFonts w:ascii="Calibri" w:eastAsia="Calibri" w:hAnsi="Calibri" w:cs="Calibri"/>
          <w:color w:val="595959"/>
        </w:rPr>
        <w:t xml:space="preserve">Οι </w:t>
      </w:r>
      <w:r w:rsidR="008A6A8A" w:rsidRPr="00107718">
        <w:rPr>
          <w:rFonts w:ascii="Calibri" w:eastAsia="Calibri" w:hAnsi="Calibri" w:cs="Calibri"/>
          <w:color w:val="595959"/>
        </w:rPr>
        <w:t>οχτώ</w:t>
      </w:r>
      <w:r w:rsidR="008C0CB4" w:rsidRPr="00107718">
        <w:rPr>
          <w:rFonts w:ascii="Calibri" w:eastAsia="Calibri" w:hAnsi="Calibri" w:cs="Calibri"/>
          <w:color w:val="595959"/>
        </w:rPr>
        <w:t xml:space="preserve"> πρώτες διαταραχές επηρεάζουν συνολικά την παγκόσμια ή την ευρωπαϊκή οικονομία, ενώ η </w:t>
      </w:r>
      <w:r w:rsidR="008A6A8A" w:rsidRPr="00107718">
        <w:rPr>
          <w:rFonts w:ascii="Calibri" w:eastAsia="Calibri" w:hAnsi="Calibri" w:cs="Calibri"/>
          <w:color w:val="595959"/>
        </w:rPr>
        <w:t>τελευταία αφορά μόνο την Ελλάδα</w:t>
      </w:r>
      <w:r w:rsidR="008C0CB4" w:rsidRPr="00107718">
        <w:rPr>
          <w:rFonts w:ascii="Calibri" w:eastAsia="Calibri" w:hAnsi="Calibri" w:cs="Calibri"/>
          <w:color w:val="595959"/>
        </w:rPr>
        <w:t>.</w:t>
      </w:r>
      <w:r w:rsidR="008C0CB4">
        <w:rPr>
          <w:rFonts w:ascii="Calibri" w:eastAsia="Calibri" w:hAnsi="Calibri" w:cs="Calibri"/>
          <w:color w:val="595959"/>
        </w:rPr>
        <w:t xml:space="preserve"> </w:t>
      </w:r>
    </w:p>
    <w:p w14:paraId="55CD67CC" w14:textId="77777777" w:rsidR="00C802A4" w:rsidRPr="006F299D" w:rsidRDefault="0006351F" w:rsidP="00A40AB4">
      <w:pPr>
        <w:autoSpaceDE w:val="0"/>
        <w:autoSpaceDN w:val="0"/>
        <w:adjustRightInd w:val="0"/>
        <w:spacing w:before="240" w:after="0" w:line="276" w:lineRule="auto"/>
        <w:jc w:val="both"/>
        <w:rPr>
          <w:rFonts w:ascii="Calibri" w:eastAsia="Calibri" w:hAnsi="Calibri" w:cs="Calibri"/>
          <w:color w:val="595959"/>
        </w:rPr>
      </w:pPr>
      <w:r>
        <w:rPr>
          <w:rFonts w:ascii="Calibri" w:eastAsia="Calibri" w:hAnsi="Calibri" w:cs="Calibri"/>
          <w:color w:val="595959"/>
        </w:rPr>
        <w:t xml:space="preserve">Οι </w:t>
      </w:r>
      <w:r w:rsidR="00582BCB">
        <w:rPr>
          <w:rFonts w:ascii="Calibri" w:eastAsia="Calibri" w:hAnsi="Calibri" w:cs="Calibri"/>
          <w:color w:val="595959"/>
        </w:rPr>
        <w:t>ανωτέρω προβλέψεις βασίζονται στην υπόθεση ότι η Ευρωπαϊκή Κεντρική Τράπεζα θα κρατήσει αμετάβλητα τα επιτόκια, ενώ παράλληλα υποθέτουμε ότι δεν θα υλοποιηθεί κάποια σημαντική εγχώρια δημοσιονομική επέκταση (πέρα και πάνω από την κοινή ευρωπαϊκή αντίδραση που έχει ήδη συμπεριληφθεί, βλ.</w:t>
      </w:r>
      <w:r w:rsidR="00343A79">
        <w:rPr>
          <w:rFonts w:ascii="Calibri" w:eastAsia="Calibri" w:hAnsi="Calibri" w:cs="Calibri"/>
          <w:color w:val="595959"/>
        </w:rPr>
        <w:t xml:space="preserve"> Πίνακα</w:t>
      </w:r>
      <w:r>
        <w:rPr>
          <w:rFonts w:ascii="Calibri" w:eastAsia="Calibri" w:hAnsi="Calibri" w:cs="Calibri"/>
          <w:color w:val="595959"/>
        </w:rPr>
        <w:t xml:space="preserve"> </w:t>
      </w:r>
      <w:r w:rsidR="009A634A">
        <w:rPr>
          <w:rFonts w:ascii="Calibri" w:eastAsia="Calibri" w:hAnsi="Calibri" w:cs="Calibri"/>
          <w:color w:val="595959"/>
        </w:rPr>
        <w:t>2</w:t>
      </w:r>
      <w:r>
        <w:rPr>
          <w:rFonts w:ascii="Calibri" w:eastAsia="Calibri" w:hAnsi="Calibri" w:cs="Calibri"/>
          <w:color w:val="595959"/>
        </w:rPr>
        <w:t>)</w:t>
      </w:r>
      <w:r w:rsidRPr="00F66710">
        <w:rPr>
          <w:rFonts w:ascii="Calibri" w:eastAsia="Calibri" w:hAnsi="Calibri" w:cs="Calibri"/>
          <w:color w:val="595959"/>
        </w:rPr>
        <w:t xml:space="preserve">. </w:t>
      </w:r>
      <w:r>
        <w:rPr>
          <w:rFonts w:ascii="Calibri" w:eastAsia="Calibri" w:hAnsi="Calibri" w:cs="Calibri"/>
          <w:color w:val="595959"/>
        </w:rPr>
        <w:t>Προφανώς, μια πιο περιοριστική νομισματική πολιτική θα οδηγούσε σε χαμηλότερο πληθωρισμό και χαμηλότερη ανάπτυξη, ενώ μια πιο επεκτατική δημοσιονομική πολιτική θα ενίσχυε το ρυθμό ανάπτυξης αλλά θα επιβάρυνε περισσότερο το δημόσιο χρέος.</w:t>
      </w:r>
      <w:r w:rsidR="000D0589" w:rsidRPr="000D0589">
        <w:rPr>
          <w:rFonts w:ascii="Calibri" w:eastAsia="Calibri" w:hAnsi="Calibri" w:cs="Calibri"/>
          <w:color w:val="595959"/>
        </w:rPr>
        <w:t xml:space="preserve"> </w:t>
      </w:r>
      <w:r>
        <w:rPr>
          <w:rFonts w:ascii="Calibri" w:eastAsia="Calibri" w:hAnsi="Calibri" w:cs="Calibri"/>
          <w:color w:val="595959"/>
        </w:rPr>
        <w:t xml:space="preserve">Επιπλέον, επισημαίνεται ότι δεν έχουν εξετασθεί </w:t>
      </w:r>
      <w:r w:rsidR="00171C36">
        <w:rPr>
          <w:rFonts w:ascii="Calibri" w:eastAsia="Calibri" w:hAnsi="Calibri" w:cs="Calibri"/>
          <w:color w:val="595959"/>
        </w:rPr>
        <w:t xml:space="preserve">ακραία σενάρια όπως </w:t>
      </w:r>
      <w:r w:rsidR="00171C36" w:rsidRPr="006F299D">
        <w:rPr>
          <w:rFonts w:ascii="Calibri" w:eastAsia="Calibri" w:hAnsi="Calibri" w:cs="Calibri"/>
          <w:color w:val="595959"/>
        </w:rPr>
        <w:t xml:space="preserve">διακοπές </w:t>
      </w:r>
      <w:r w:rsidR="00171C36">
        <w:rPr>
          <w:rFonts w:ascii="Calibri" w:eastAsia="Calibri" w:hAnsi="Calibri" w:cs="Calibri"/>
          <w:color w:val="595959"/>
        </w:rPr>
        <w:t xml:space="preserve">λειτουργίας παραγωγικών μονάδων, ή </w:t>
      </w:r>
      <w:r w:rsidR="00171C36" w:rsidRPr="006F299D">
        <w:rPr>
          <w:rFonts w:ascii="Calibri" w:eastAsia="Calibri" w:hAnsi="Calibri" w:cs="Calibri"/>
          <w:color w:val="595959"/>
        </w:rPr>
        <w:t>ελλείψεις στις αγορές εμπορευμάτων καθώς οι οικονομικές τους επιπτώσεις δεν μπορούν να υπολογιστούν.</w:t>
      </w:r>
      <w:r w:rsidR="00171C36">
        <w:rPr>
          <w:rFonts w:ascii="Calibri" w:eastAsia="Calibri" w:hAnsi="Calibri" w:cs="Calibri"/>
          <w:color w:val="595959"/>
        </w:rPr>
        <w:t xml:space="preserve"> Με βάση τα παραπάνω αλλά και τον </w:t>
      </w:r>
      <w:r w:rsidR="00D20D04" w:rsidRPr="006F299D">
        <w:rPr>
          <w:rFonts w:ascii="Calibri" w:eastAsia="Calibri" w:hAnsi="Calibri" w:cs="Calibri"/>
          <w:color w:val="595959"/>
        </w:rPr>
        <w:t>εξαιρετικ</w:t>
      </w:r>
      <w:r w:rsidR="001E0C16">
        <w:rPr>
          <w:rFonts w:ascii="Calibri" w:eastAsia="Calibri" w:hAnsi="Calibri" w:cs="Calibri"/>
          <w:color w:val="595959"/>
        </w:rPr>
        <w:t>ά</w:t>
      </w:r>
      <w:r w:rsidR="00D20D04" w:rsidRPr="006F299D">
        <w:rPr>
          <w:rFonts w:ascii="Calibri" w:eastAsia="Calibri" w:hAnsi="Calibri" w:cs="Calibri"/>
          <w:color w:val="595959"/>
        </w:rPr>
        <w:t xml:space="preserve"> υψηλό βαθμό αβεβαιότητας </w:t>
      </w:r>
      <w:r w:rsidR="00171C36">
        <w:rPr>
          <w:rFonts w:ascii="Calibri" w:eastAsia="Calibri" w:hAnsi="Calibri" w:cs="Calibri"/>
          <w:color w:val="595959"/>
        </w:rPr>
        <w:t xml:space="preserve">αναφορικά με τη διάρκεια και την έκβαση του πολέμου, </w:t>
      </w:r>
      <w:r w:rsidR="00D20D04" w:rsidRPr="006F299D">
        <w:rPr>
          <w:rFonts w:ascii="Calibri" w:eastAsia="Calibri" w:hAnsi="Calibri" w:cs="Calibri"/>
          <w:color w:val="595959"/>
        </w:rPr>
        <w:t>οι προβλέψεις είναι ενδεικτικές</w:t>
      </w:r>
      <w:r w:rsidR="001B0A49">
        <w:rPr>
          <w:rFonts w:ascii="Calibri" w:eastAsia="Calibri" w:hAnsi="Calibri" w:cs="Calibri"/>
          <w:color w:val="595959"/>
        </w:rPr>
        <w:t>.</w:t>
      </w:r>
      <w:r>
        <w:rPr>
          <w:rFonts w:ascii="Calibri" w:eastAsia="Calibri" w:hAnsi="Calibri" w:cs="Calibri"/>
          <w:color w:val="595959"/>
        </w:rPr>
        <w:t xml:space="preserve"> </w:t>
      </w:r>
    </w:p>
    <w:p w14:paraId="4413D3BA" w14:textId="77777777" w:rsidR="003B23C4" w:rsidRPr="006F299D" w:rsidRDefault="003B23C4" w:rsidP="003B23C4">
      <w:pPr>
        <w:autoSpaceDE w:val="0"/>
        <w:autoSpaceDN w:val="0"/>
        <w:adjustRightInd w:val="0"/>
        <w:spacing w:after="0" w:line="276" w:lineRule="auto"/>
        <w:jc w:val="both"/>
        <w:rPr>
          <w:rFonts w:ascii="Calibri" w:eastAsia="Calibri" w:hAnsi="Calibri" w:cs="Calibri"/>
          <w:color w:val="595959"/>
        </w:rPr>
      </w:pPr>
    </w:p>
    <w:p w14:paraId="47AE5F83" w14:textId="77777777" w:rsidR="00E64879" w:rsidRDefault="00E64879">
      <w:pPr>
        <w:rPr>
          <w:i/>
          <w:iCs/>
          <w:color w:val="44546A" w:themeColor="text2"/>
          <w:sz w:val="18"/>
          <w:szCs w:val="18"/>
        </w:rPr>
      </w:pPr>
      <w:bookmarkStart w:id="42" w:name="_Toc98160545"/>
      <w:r>
        <w:br w:type="page"/>
      </w:r>
    </w:p>
    <w:p w14:paraId="0792EF5F" w14:textId="77777777" w:rsidR="003B23C4" w:rsidRDefault="003B23C4" w:rsidP="003B23C4">
      <w:pPr>
        <w:pStyle w:val="Caption"/>
        <w:keepNext/>
        <w:jc w:val="center"/>
      </w:pPr>
      <w:r>
        <w:lastRenderedPageBreak/>
        <w:t xml:space="preserve">Πίνακας </w:t>
      </w:r>
      <w:r w:rsidR="0059099F">
        <w:fldChar w:fldCharType="begin"/>
      </w:r>
      <w:r w:rsidR="0059099F">
        <w:instrText xml:space="preserve"> SEQ Πίνακας \* ARABIC </w:instrText>
      </w:r>
      <w:r w:rsidR="0059099F">
        <w:fldChar w:fldCharType="separate"/>
      </w:r>
      <w:r>
        <w:rPr>
          <w:noProof/>
        </w:rPr>
        <w:t>2</w:t>
      </w:r>
      <w:r w:rsidR="0059099F">
        <w:rPr>
          <w:noProof/>
        </w:rPr>
        <w:fldChar w:fldCharType="end"/>
      </w:r>
      <w:r>
        <w:t xml:space="preserve"> Βασικές Υποθέσεις, Σενάρια και Προβλέψεις</w:t>
      </w:r>
      <w:bookmarkEnd w:id="42"/>
    </w:p>
    <w:tbl>
      <w:tblPr>
        <w:tblW w:w="8164" w:type="dxa"/>
        <w:tblLook w:val="04A0" w:firstRow="1" w:lastRow="0" w:firstColumn="1" w:lastColumn="0" w:noHBand="0" w:noVBand="1"/>
      </w:tblPr>
      <w:tblGrid>
        <w:gridCol w:w="1547"/>
        <w:gridCol w:w="2706"/>
        <w:gridCol w:w="2693"/>
        <w:gridCol w:w="1218"/>
      </w:tblGrid>
      <w:tr w:rsidR="00E25F60" w:rsidRPr="00E25F60" w14:paraId="142B2F56" w14:textId="77777777" w:rsidTr="000D0589">
        <w:trPr>
          <w:trHeight w:val="877"/>
        </w:trPr>
        <w:tc>
          <w:tcPr>
            <w:tcW w:w="1547" w:type="dxa"/>
            <w:tcBorders>
              <w:bottom w:val="single" w:sz="4" w:space="0" w:color="auto"/>
              <w:right w:val="single" w:sz="4" w:space="0" w:color="auto"/>
            </w:tcBorders>
            <w:shd w:val="clear" w:color="auto" w:fill="auto"/>
            <w:vAlign w:val="center"/>
            <w:hideMark/>
          </w:tcPr>
          <w:p w14:paraId="2AF5CDA1" w14:textId="77777777" w:rsidR="00896228" w:rsidRPr="00896228" w:rsidRDefault="00896228" w:rsidP="00896228">
            <w:pPr>
              <w:spacing w:after="0" w:line="240" w:lineRule="auto"/>
              <w:jc w:val="center"/>
              <w:rPr>
                <w:rFonts w:eastAsia="Times New Roman" w:cstheme="minorHAnsi"/>
                <w:b/>
                <w:color w:val="595959" w:themeColor="text1" w:themeTint="A6"/>
                <w:sz w:val="18"/>
                <w:szCs w:val="18"/>
                <w:lang w:val="en-US"/>
              </w:rPr>
            </w:pPr>
            <w:r w:rsidRPr="00896228">
              <w:rPr>
                <w:rFonts w:eastAsia="Times New Roman" w:cstheme="minorHAnsi"/>
                <w:b/>
                <w:color w:val="595959" w:themeColor="text1" w:themeTint="A6"/>
                <w:sz w:val="18"/>
                <w:szCs w:val="18"/>
                <w:lang w:val="en-US"/>
              </w:rPr>
              <w:t>Οικονομικές μεταβλητές</w:t>
            </w:r>
          </w:p>
        </w:tc>
        <w:tc>
          <w:tcPr>
            <w:tcW w:w="5399" w:type="dxa"/>
            <w:gridSpan w:val="2"/>
            <w:tcBorders>
              <w:left w:val="single" w:sz="4" w:space="0" w:color="auto"/>
              <w:bottom w:val="single" w:sz="4" w:space="0" w:color="auto"/>
              <w:right w:val="single" w:sz="4" w:space="0" w:color="auto"/>
            </w:tcBorders>
            <w:shd w:val="clear" w:color="auto" w:fill="auto"/>
            <w:noWrap/>
            <w:vAlign w:val="center"/>
            <w:hideMark/>
          </w:tcPr>
          <w:p w14:paraId="32DE6338" w14:textId="77777777" w:rsidR="00896228" w:rsidRPr="00896228" w:rsidRDefault="00896228" w:rsidP="00896228">
            <w:pPr>
              <w:spacing w:after="0" w:line="240" w:lineRule="auto"/>
              <w:jc w:val="center"/>
              <w:rPr>
                <w:rFonts w:eastAsia="Times New Roman" w:cstheme="minorHAnsi"/>
                <w:b/>
                <w:color w:val="595959" w:themeColor="text1" w:themeTint="A6"/>
                <w:sz w:val="18"/>
                <w:szCs w:val="18"/>
                <w:lang w:val="en-US"/>
              </w:rPr>
            </w:pPr>
            <w:r w:rsidRPr="00896228">
              <w:rPr>
                <w:rFonts w:eastAsia="Times New Roman" w:cstheme="minorHAnsi"/>
                <w:b/>
                <w:color w:val="595959" w:themeColor="text1" w:themeTint="A6"/>
                <w:sz w:val="18"/>
                <w:szCs w:val="18"/>
                <w:lang w:val="en-US"/>
              </w:rPr>
              <w:t>Σενάρια διαταραχών</w:t>
            </w:r>
          </w:p>
        </w:tc>
        <w:tc>
          <w:tcPr>
            <w:tcW w:w="1218" w:type="dxa"/>
            <w:tcBorders>
              <w:left w:val="single" w:sz="4" w:space="0" w:color="auto"/>
              <w:bottom w:val="single" w:sz="4" w:space="0" w:color="auto"/>
            </w:tcBorders>
            <w:shd w:val="clear" w:color="auto" w:fill="auto"/>
            <w:vAlign w:val="center"/>
            <w:hideMark/>
          </w:tcPr>
          <w:p w14:paraId="18912AFF" w14:textId="77777777" w:rsidR="00896228" w:rsidRPr="00896228" w:rsidRDefault="00896228" w:rsidP="00896228">
            <w:pPr>
              <w:spacing w:after="0" w:line="240" w:lineRule="auto"/>
              <w:jc w:val="center"/>
              <w:rPr>
                <w:rFonts w:eastAsia="Times New Roman" w:cstheme="minorHAnsi"/>
                <w:b/>
                <w:color w:val="595959" w:themeColor="text1" w:themeTint="A6"/>
                <w:sz w:val="18"/>
                <w:szCs w:val="18"/>
              </w:rPr>
            </w:pPr>
            <w:r w:rsidRPr="00896228">
              <w:rPr>
                <w:rFonts w:eastAsia="Times New Roman" w:cstheme="minorHAnsi"/>
                <w:b/>
                <w:color w:val="595959" w:themeColor="text1" w:themeTint="A6"/>
                <w:sz w:val="18"/>
                <w:szCs w:val="18"/>
              </w:rPr>
              <w:t>Σενάριο αναφοράς (πριν τον πόλεμο)</w:t>
            </w:r>
          </w:p>
        </w:tc>
      </w:tr>
      <w:tr w:rsidR="00E25F60" w:rsidRPr="00E25F60" w14:paraId="5D772A3D" w14:textId="77777777" w:rsidTr="000D0589">
        <w:trPr>
          <w:trHeight w:val="1130"/>
        </w:trPr>
        <w:tc>
          <w:tcPr>
            <w:tcW w:w="1547" w:type="dxa"/>
            <w:tcBorders>
              <w:top w:val="single" w:sz="4" w:space="0" w:color="auto"/>
              <w:right w:val="single" w:sz="4" w:space="0" w:color="auto"/>
            </w:tcBorders>
            <w:shd w:val="clear" w:color="auto" w:fill="auto"/>
            <w:noWrap/>
            <w:vAlign w:val="center"/>
            <w:hideMark/>
          </w:tcPr>
          <w:p w14:paraId="57C3C0A5" w14:textId="77777777" w:rsidR="00896228" w:rsidRPr="00896228" w:rsidRDefault="00896228" w:rsidP="00896228">
            <w:pPr>
              <w:spacing w:after="0" w:line="240" w:lineRule="auto"/>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Ιδιωτικά επιτόκια</w:t>
            </w:r>
          </w:p>
        </w:tc>
        <w:tc>
          <w:tcPr>
            <w:tcW w:w="5399" w:type="dxa"/>
            <w:gridSpan w:val="2"/>
            <w:tcBorders>
              <w:top w:val="single" w:sz="4" w:space="0" w:color="auto"/>
              <w:left w:val="single" w:sz="4" w:space="0" w:color="auto"/>
              <w:right w:val="single" w:sz="4" w:space="0" w:color="auto"/>
            </w:tcBorders>
            <w:shd w:val="clear" w:color="auto" w:fill="auto"/>
            <w:vAlign w:val="center"/>
            <w:hideMark/>
          </w:tcPr>
          <w:p w14:paraId="0BC261F2" w14:textId="77777777" w:rsidR="00896228" w:rsidRPr="00896228" w:rsidRDefault="00896228" w:rsidP="0065479F">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 xml:space="preserve">Αύξηση </w:t>
            </w:r>
            <w:r w:rsidR="008C0CB4">
              <w:rPr>
                <w:rFonts w:eastAsia="Times New Roman" w:cstheme="minorHAnsi"/>
                <w:color w:val="595959" w:themeColor="text1" w:themeTint="A6"/>
                <w:sz w:val="18"/>
                <w:szCs w:val="18"/>
              </w:rPr>
              <w:t xml:space="preserve">κινδύνου </w:t>
            </w:r>
            <w:r w:rsidR="007F2AD4">
              <w:rPr>
                <w:rFonts w:eastAsia="Times New Roman" w:cstheme="minorHAnsi"/>
                <w:color w:val="595959" w:themeColor="text1" w:themeTint="A6"/>
                <w:sz w:val="18"/>
                <w:szCs w:val="18"/>
              </w:rPr>
              <w:t xml:space="preserve">ιδιωτικού δανεισμού που προκαλεί αύξηση </w:t>
            </w:r>
            <w:r w:rsidRPr="00896228">
              <w:rPr>
                <w:rFonts w:eastAsia="Times New Roman" w:cstheme="minorHAnsi"/>
                <w:color w:val="595959" w:themeColor="text1" w:themeTint="A6"/>
                <w:sz w:val="18"/>
                <w:szCs w:val="18"/>
              </w:rPr>
              <w:t>επιτοκίων (</w:t>
            </w:r>
            <w:r w:rsidRPr="00896228">
              <w:rPr>
                <w:rFonts w:eastAsia="Times New Roman" w:cstheme="minorHAnsi"/>
                <w:color w:val="595959" w:themeColor="text1" w:themeTint="A6"/>
                <w:sz w:val="18"/>
                <w:szCs w:val="18"/>
                <w:lang w:val="en-US"/>
              </w:rPr>
              <w:t>Private</w:t>
            </w:r>
            <w:r w:rsidRPr="00896228">
              <w:rPr>
                <w:rFonts w:eastAsia="Times New Roman" w:cstheme="minorHAnsi"/>
                <w:color w:val="595959" w:themeColor="text1" w:themeTint="A6"/>
                <w:sz w:val="18"/>
                <w:szCs w:val="18"/>
              </w:rPr>
              <w:t xml:space="preserve"> </w:t>
            </w:r>
            <w:r w:rsidRPr="00896228">
              <w:rPr>
                <w:rFonts w:eastAsia="Times New Roman" w:cstheme="minorHAnsi"/>
                <w:color w:val="595959" w:themeColor="text1" w:themeTint="A6"/>
                <w:sz w:val="18"/>
                <w:szCs w:val="18"/>
                <w:lang w:val="en-US"/>
              </w:rPr>
              <w:t>Investment</w:t>
            </w:r>
            <w:r w:rsidRPr="00896228">
              <w:rPr>
                <w:rFonts w:eastAsia="Times New Roman" w:cstheme="minorHAnsi"/>
                <w:color w:val="595959" w:themeColor="text1" w:themeTint="A6"/>
                <w:sz w:val="18"/>
                <w:szCs w:val="18"/>
              </w:rPr>
              <w:t xml:space="preserve"> </w:t>
            </w:r>
            <w:r w:rsidRPr="00896228">
              <w:rPr>
                <w:rFonts w:eastAsia="Times New Roman" w:cstheme="minorHAnsi"/>
                <w:color w:val="595959" w:themeColor="text1" w:themeTint="A6"/>
                <w:sz w:val="18"/>
                <w:szCs w:val="18"/>
                <w:lang w:val="en-US"/>
              </w:rPr>
              <w:t>Premium</w:t>
            </w:r>
            <w:r w:rsidRPr="00896228">
              <w:rPr>
                <w:rFonts w:eastAsia="Times New Roman" w:cstheme="minorHAnsi"/>
                <w:color w:val="595959" w:themeColor="text1" w:themeTint="A6"/>
                <w:sz w:val="18"/>
                <w:szCs w:val="18"/>
              </w:rPr>
              <w:t>) κατά 0,5 ποσοστιαίες μονάδες σε Δυτική Ευρώπη, κατά 2 ποσοστιαίες μονάδες σε Ανατολική Ευρώπη και κατά 4 ποσοστιαίες μονάδες στη Ρωσία.</w:t>
            </w:r>
          </w:p>
        </w:tc>
        <w:tc>
          <w:tcPr>
            <w:tcW w:w="1218" w:type="dxa"/>
            <w:tcBorders>
              <w:top w:val="single" w:sz="4" w:space="0" w:color="auto"/>
              <w:left w:val="single" w:sz="4" w:space="0" w:color="auto"/>
            </w:tcBorders>
            <w:shd w:val="clear" w:color="auto" w:fill="auto"/>
            <w:noWrap/>
            <w:vAlign w:val="center"/>
            <w:hideMark/>
          </w:tcPr>
          <w:p w14:paraId="3B3438E3" w14:textId="77777777" w:rsidR="00896228" w:rsidRPr="00896228" w:rsidRDefault="00896228" w:rsidP="00896228">
            <w:pPr>
              <w:spacing w:after="0" w:line="240" w:lineRule="auto"/>
              <w:jc w:val="center"/>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w:t>
            </w:r>
          </w:p>
        </w:tc>
      </w:tr>
      <w:tr w:rsidR="00E25F60" w:rsidRPr="00E25F60" w14:paraId="7B19940A" w14:textId="77777777" w:rsidTr="000D0589">
        <w:trPr>
          <w:trHeight w:val="1273"/>
        </w:trPr>
        <w:tc>
          <w:tcPr>
            <w:tcW w:w="1547" w:type="dxa"/>
            <w:tcBorders>
              <w:right w:val="single" w:sz="4" w:space="0" w:color="auto"/>
            </w:tcBorders>
            <w:shd w:val="clear" w:color="auto" w:fill="auto"/>
            <w:noWrap/>
            <w:vAlign w:val="center"/>
            <w:hideMark/>
          </w:tcPr>
          <w:p w14:paraId="3F9C54D4" w14:textId="77777777" w:rsidR="00896228" w:rsidRPr="00896228" w:rsidRDefault="00896228" w:rsidP="00896228">
            <w:pPr>
              <w:spacing w:after="0" w:line="240" w:lineRule="auto"/>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Προσφυγικό κύμα</w:t>
            </w:r>
          </w:p>
        </w:tc>
        <w:tc>
          <w:tcPr>
            <w:tcW w:w="5399" w:type="dxa"/>
            <w:gridSpan w:val="2"/>
            <w:tcBorders>
              <w:left w:val="single" w:sz="4" w:space="0" w:color="auto"/>
              <w:right w:val="single" w:sz="4" w:space="0" w:color="auto"/>
            </w:tcBorders>
            <w:shd w:val="clear" w:color="auto" w:fill="auto"/>
            <w:vAlign w:val="center"/>
            <w:hideMark/>
          </w:tcPr>
          <w:p w14:paraId="6B6F2DB8" w14:textId="77777777" w:rsidR="00896228" w:rsidRPr="00896228" w:rsidRDefault="00896228" w:rsidP="0065479F">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 xml:space="preserve">Μετανάστευση 4 </w:t>
            </w:r>
            <w:r w:rsidR="008C0CB4" w:rsidRPr="00896228">
              <w:rPr>
                <w:rFonts w:eastAsia="Times New Roman" w:cstheme="minorHAnsi"/>
                <w:color w:val="595959" w:themeColor="text1" w:themeTint="A6"/>
                <w:sz w:val="18"/>
                <w:szCs w:val="18"/>
              </w:rPr>
              <w:t>εκατομμυρίων</w:t>
            </w:r>
            <w:r w:rsidRPr="00896228">
              <w:rPr>
                <w:rFonts w:eastAsia="Times New Roman" w:cstheme="minorHAnsi"/>
                <w:color w:val="595959" w:themeColor="text1" w:themeTint="A6"/>
                <w:sz w:val="18"/>
                <w:szCs w:val="18"/>
              </w:rPr>
              <w:t xml:space="preserve"> πολιτών από την Ουκρανία σε άλλες Ευρωπαϊκές χώρες (1 εκατ. στην Πολωνία, 1 εκατ. στη Γερμανία και τα υπόλοιπα 2 εκατ. θα κατανεμηθούν αναλογικά με την κατανομή των προσφύγων από Συρία)</w:t>
            </w:r>
            <w:r w:rsidR="0065479F">
              <w:rPr>
                <w:rFonts w:eastAsia="Times New Roman" w:cstheme="minorHAnsi"/>
                <w:color w:val="595959" w:themeColor="text1" w:themeTint="A6"/>
                <w:sz w:val="18"/>
                <w:szCs w:val="18"/>
              </w:rPr>
              <w:t>.</w:t>
            </w:r>
          </w:p>
        </w:tc>
        <w:tc>
          <w:tcPr>
            <w:tcW w:w="1218" w:type="dxa"/>
            <w:tcBorders>
              <w:left w:val="single" w:sz="4" w:space="0" w:color="auto"/>
            </w:tcBorders>
            <w:shd w:val="clear" w:color="auto" w:fill="auto"/>
            <w:noWrap/>
            <w:vAlign w:val="center"/>
            <w:hideMark/>
          </w:tcPr>
          <w:p w14:paraId="2339CA7B" w14:textId="77777777" w:rsidR="00896228" w:rsidRPr="00896228" w:rsidRDefault="00896228" w:rsidP="00896228">
            <w:pPr>
              <w:spacing w:after="0" w:line="240" w:lineRule="auto"/>
              <w:jc w:val="center"/>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w:t>
            </w:r>
          </w:p>
        </w:tc>
      </w:tr>
      <w:tr w:rsidR="00E25F60" w:rsidRPr="00E25F60" w14:paraId="2FB4E12E" w14:textId="77777777" w:rsidTr="000D0589">
        <w:trPr>
          <w:trHeight w:val="980"/>
        </w:trPr>
        <w:tc>
          <w:tcPr>
            <w:tcW w:w="1547" w:type="dxa"/>
            <w:tcBorders>
              <w:right w:val="single" w:sz="4" w:space="0" w:color="auto"/>
            </w:tcBorders>
            <w:shd w:val="clear" w:color="auto" w:fill="auto"/>
            <w:noWrap/>
            <w:vAlign w:val="center"/>
            <w:hideMark/>
          </w:tcPr>
          <w:p w14:paraId="1F514F27" w14:textId="77777777" w:rsidR="00896228" w:rsidRPr="00896228" w:rsidRDefault="00896228" w:rsidP="00896228">
            <w:pPr>
              <w:spacing w:after="0" w:line="240" w:lineRule="auto"/>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Δημόσιες δαπάνες</w:t>
            </w:r>
          </w:p>
        </w:tc>
        <w:tc>
          <w:tcPr>
            <w:tcW w:w="5399" w:type="dxa"/>
            <w:gridSpan w:val="2"/>
            <w:tcBorders>
              <w:left w:val="single" w:sz="4" w:space="0" w:color="auto"/>
              <w:right w:val="single" w:sz="4" w:space="0" w:color="auto"/>
            </w:tcBorders>
            <w:shd w:val="clear" w:color="auto" w:fill="auto"/>
            <w:vAlign w:val="center"/>
            <w:hideMark/>
          </w:tcPr>
          <w:p w14:paraId="0D56470A" w14:textId="77777777" w:rsidR="00896228" w:rsidRPr="00896228" w:rsidRDefault="00896228" w:rsidP="0065479F">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 xml:space="preserve">Αύξηση της Δημόσιας Κατανάλωσης </w:t>
            </w:r>
            <w:r w:rsidR="00F66710">
              <w:rPr>
                <w:rFonts w:eastAsia="Times New Roman" w:cstheme="minorHAnsi"/>
                <w:color w:val="595959" w:themeColor="text1" w:themeTint="A6"/>
                <w:sz w:val="18"/>
                <w:szCs w:val="18"/>
              </w:rPr>
              <w:t xml:space="preserve">(προσφυγικές και αμυντικές δαπάνες) </w:t>
            </w:r>
            <w:r w:rsidRPr="00896228">
              <w:rPr>
                <w:rFonts w:eastAsia="Times New Roman" w:cstheme="minorHAnsi"/>
                <w:color w:val="595959" w:themeColor="text1" w:themeTint="A6"/>
                <w:sz w:val="18"/>
                <w:szCs w:val="18"/>
              </w:rPr>
              <w:t>κατά 0,5% του ΑΕΠ στις Ευρωπαϊκές χώρες που δεν συνορεύουν με την Ουκρανία και 1% σε εκείνες που συνορεύουν με την Ουκρανία.</w:t>
            </w:r>
          </w:p>
        </w:tc>
        <w:tc>
          <w:tcPr>
            <w:tcW w:w="1218" w:type="dxa"/>
            <w:tcBorders>
              <w:left w:val="single" w:sz="4" w:space="0" w:color="auto"/>
            </w:tcBorders>
            <w:shd w:val="clear" w:color="auto" w:fill="auto"/>
            <w:noWrap/>
            <w:vAlign w:val="center"/>
            <w:hideMark/>
          </w:tcPr>
          <w:p w14:paraId="41F00321" w14:textId="77777777" w:rsidR="00896228" w:rsidRPr="00896228" w:rsidRDefault="00896228" w:rsidP="00896228">
            <w:pPr>
              <w:spacing w:after="0" w:line="240" w:lineRule="auto"/>
              <w:jc w:val="center"/>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w:t>
            </w:r>
          </w:p>
        </w:tc>
      </w:tr>
      <w:tr w:rsidR="00E25F60" w:rsidRPr="00E25F60" w14:paraId="6CF247A8" w14:textId="77777777" w:rsidTr="000D0589">
        <w:trPr>
          <w:trHeight w:val="696"/>
        </w:trPr>
        <w:tc>
          <w:tcPr>
            <w:tcW w:w="1547" w:type="dxa"/>
            <w:tcBorders>
              <w:right w:val="single" w:sz="4" w:space="0" w:color="auto"/>
            </w:tcBorders>
            <w:shd w:val="clear" w:color="auto" w:fill="auto"/>
            <w:noWrap/>
            <w:vAlign w:val="center"/>
            <w:hideMark/>
          </w:tcPr>
          <w:p w14:paraId="492F7388" w14:textId="77777777" w:rsidR="00896228" w:rsidRPr="00896228" w:rsidRDefault="00896228" w:rsidP="00896228">
            <w:pPr>
              <w:spacing w:after="0" w:line="240" w:lineRule="auto"/>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Εμπόριο</w:t>
            </w:r>
          </w:p>
        </w:tc>
        <w:tc>
          <w:tcPr>
            <w:tcW w:w="5399" w:type="dxa"/>
            <w:gridSpan w:val="2"/>
            <w:tcBorders>
              <w:left w:val="single" w:sz="4" w:space="0" w:color="auto"/>
              <w:right w:val="single" w:sz="4" w:space="0" w:color="auto"/>
            </w:tcBorders>
            <w:shd w:val="clear" w:color="auto" w:fill="auto"/>
            <w:vAlign w:val="center"/>
            <w:hideMark/>
          </w:tcPr>
          <w:p w14:paraId="3C700FBC" w14:textId="77777777" w:rsidR="00896228" w:rsidRPr="00896228" w:rsidRDefault="00896228" w:rsidP="0065479F">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 xml:space="preserve">Μείωση καθαρού εμπορίου </w:t>
            </w:r>
            <w:r w:rsidR="007F2AD4">
              <w:rPr>
                <w:rFonts w:eastAsia="Times New Roman" w:cstheme="minorHAnsi"/>
                <w:color w:val="595959" w:themeColor="text1" w:themeTint="A6"/>
                <w:sz w:val="18"/>
                <w:szCs w:val="18"/>
              </w:rPr>
              <w:t>της</w:t>
            </w:r>
            <w:r w:rsidR="007F2AD4" w:rsidRPr="00896228">
              <w:rPr>
                <w:rFonts w:eastAsia="Times New Roman" w:cstheme="minorHAnsi"/>
                <w:color w:val="595959" w:themeColor="text1" w:themeTint="A6"/>
                <w:sz w:val="18"/>
                <w:szCs w:val="18"/>
              </w:rPr>
              <w:t xml:space="preserve"> Δυτικής </w:t>
            </w:r>
            <w:r w:rsidR="007F2AD4">
              <w:rPr>
                <w:rFonts w:eastAsia="Times New Roman" w:cstheme="minorHAnsi"/>
                <w:color w:val="595959" w:themeColor="text1" w:themeTint="A6"/>
                <w:sz w:val="18"/>
                <w:szCs w:val="18"/>
              </w:rPr>
              <w:t xml:space="preserve">Ευρώπης με την </w:t>
            </w:r>
            <w:r w:rsidRPr="00896228">
              <w:rPr>
                <w:rFonts w:eastAsia="Times New Roman" w:cstheme="minorHAnsi"/>
                <w:color w:val="595959" w:themeColor="text1" w:themeTint="A6"/>
                <w:sz w:val="18"/>
                <w:szCs w:val="18"/>
              </w:rPr>
              <w:t xml:space="preserve">Ανατολική Ευρώπη </w:t>
            </w:r>
            <w:r w:rsidR="007F2AD4">
              <w:rPr>
                <w:rFonts w:eastAsia="Times New Roman" w:cstheme="minorHAnsi"/>
                <w:color w:val="595959" w:themeColor="text1" w:themeTint="A6"/>
                <w:sz w:val="18"/>
                <w:szCs w:val="18"/>
              </w:rPr>
              <w:t xml:space="preserve">και τη Ρωσία </w:t>
            </w:r>
            <w:r w:rsidRPr="00896228">
              <w:rPr>
                <w:rFonts w:eastAsia="Times New Roman" w:cstheme="minorHAnsi"/>
                <w:color w:val="595959" w:themeColor="text1" w:themeTint="A6"/>
                <w:sz w:val="18"/>
                <w:szCs w:val="18"/>
              </w:rPr>
              <w:t>κατά 30%</w:t>
            </w:r>
            <w:r w:rsidR="0065479F">
              <w:rPr>
                <w:rFonts w:eastAsia="Times New Roman" w:cstheme="minorHAnsi"/>
                <w:color w:val="595959" w:themeColor="text1" w:themeTint="A6"/>
                <w:sz w:val="18"/>
                <w:szCs w:val="18"/>
              </w:rPr>
              <w:t>.</w:t>
            </w:r>
          </w:p>
        </w:tc>
        <w:tc>
          <w:tcPr>
            <w:tcW w:w="1218" w:type="dxa"/>
            <w:tcBorders>
              <w:left w:val="single" w:sz="4" w:space="0" w:color="auto"/>
            </w:tcBorders>
            <w:shd w:val="clear" w:color="auto" w:fill="auto"/>
            <w:noWrap/>
            <w:vAlign w:val="center"/>
            <w:hideMark/>
          </w:tcPr>
          <w:p w14:paraId="32186548" w14:textId="77777777" w:rsidR="00896228" w:rsidRPr="00896228" w:rsidRDefault="00896228" w:rsidP="00896228">
            <w:pPr>
              <w:spacing w:after="0" w:line="240" w:lineRule="auto"/>
              <w:jc w:val="center"/>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w:t>
            </w:r>
          </w:p>
        </w:tc>
      </w:tr>
      <w:tr w:rsidR="00E25F60" w:rsidRPr="00E25F60" w14:paraId="7DE88C33" w14:textId="77777777" w:rsidTr="00E64879">
        <w:trPr>
          <w:trHeight w:val="551"/>
        </w:trPr>
        <w:tc>
          <w:tcPr>
            <w:tcW w:w="1547" w:type="dxa"/>
            <w:tcBorders>
              <w:right w:val="single" w:sz="4" w:space="0" w:color="auto"/>
            </w:tcBorders>
            <w:shd w:val="clear" w:color="auto" w:fill="auto"/>
            <w:noWrap/>
            <w:vAlign w:val="center"/>
            <w:hideMark/>
          </w:tcPr>
          <w:p w14:paraId="25B3E355" w14:textId="77777777" w:rsidR="00896228" w:rsidRPr="00896228" w:rsidRDefault="00896228" w:rsidP="00896228">
            <w:pPr>
              <w:spacing w:after="0" w:line="240" w:lineRule="auto"/>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Υποτίμηση</w:t>
            </w:r>
          </w:p>
        </w:tc>
        <w:tc>
          <w:tcPr>
            <w:tcW w:w="5399" w:type="dxa"/>
            <w:gridSpan w:val="2"/>
            <w:tcBorders>
              <w:left w:val="single" w:sz="4" w:space="0" w:color="auto"/>
              <w:right w:val="single" w:sz="4" w:space="0" w:color="auto"/>
            </w:tcBorders>
            <w:shd w:val="clear" w:color="auto" w:fill="auto"/>
            <w:vAlign w:val="center"/>
            <w:hideMark/>
          </w:tcPr>
          <w:p w14:paraId="0124EB8E" w14:textId="77777777" w:rsidR="00896228" w:rsidRPr="00896228" w:rsidRDefault="00896228" w:rsidP="0065479F">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Υποτίμηση 10% στο ρούβλι έναντι του δολαρίου</w:t>
            </w:r>
            <w:r w:rsidR="0065479F">
              <w:rPr>
                <w:rFonts w:eastAsia="Times New Roman" w:cstheme="minorHAnsi"/>
                <w:color w:val="595959" w:themeColor="text1" w:themeTint="A6"/>
                <w:sz w:val="18"/>
                <w:szCs w:val="18"/>
              </w:rPr>
              <w:t>.</w:t>
            </w:r>
          </w:p>
        </w:tc>
        <w:tc>
          <w:tcPr>
            <w:tcW w:w="1218" w:type="dxa"/>
            <w:tcBorders>
              <w:left w:val="single" w:sz="4" w:space="0" w:color="auto"/>
            </w:tcBorders>
            <w:shd w:val="clear" w:color="auto" w:fill="auto"/>
            <w:noWrap/>
            <w:vAlign w:val="center"/>
            <w:hideMark/>
          </w:tcPr>
          <w:p w14:paraId="006D587E" w14:textId="77777777" w:rsidR="00896228" w:rsidRPr="00896228" w:rsidRDefault="00896228" w:rsidP="00896228">
            <w:pPr>
              <w:spacing w:after="0" w:line="240" w:lineRule="auto"/>
              <w:jc w:val="center"/>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w:t>
            </w:r>
          </w:p>
        </w:tc>
      </w:tr>
      <w:tr w:rsidR="00E25F60" w:rsidRPr="00E25F60" w14:paraId="4B297DC3" w14:textId="77777777" w:rsidTr="00E64879">
        <w:trPr>
          <w:trHeight w:val="417"/>
        </w:trPr>
        <w:tc>
          <w:tcPr>
            <w:tcW w:w="1547" w:type="dxa"/>
            <w:tcBorders>
              <w:bottom w:val="single" w:sz="4" w:space="0" w:color="auto"/>
              <w:right w:val="single" w:sz="4" w:space="0" w:color="auto"/>
            </w:tcBorders>
            <w:shd w:val="clear" w:color="auto" w:fill="auto"/>
            <w:vAlign w:val="center"/>
            <w:hideMark/>
          </w:tcPr>
          <w:p w14:paraId="5D576F3B" w14:textId="77777777" w:rsidR="00896228" w:rsidRPr="00896228" w:rsidRDefault="00896228" w:rsidP="00896228">
            <w:pPr>
              <w:spacing w:after="0" w:line="240" w:lineRule="auto"/>
              <w:jc w:val="center"/>
              <w:rPr>
                <w:rFonts w:eastAsia="Times New Roman" w:cstheme="minorHAnsi"/>
                <w:b/>
                <w:color w:val="595959" w:themeColor="text1" w:themeTint="A6"/>
                <w:sz w:val="18"/>
                <w:szCs w:val="18"/>
                <w:lang w:val="en-US"/>
              </w:rPr>
            </w:pPr>
          </w:p>
        </w:tc>
        <w:tc>
          <w:tcPr>
            <w:tcW w:w="2706" w:type="dxa"/>
            <w:tcBorders>
              <w:left w:val="single" w:sz="4" w:space="0" w:color="auto"/>
              <w:bottom w:val="single" w:sz="4" w:space="0" w:color="auto"/>
              <w:right w:val="single" w:sz="4" w:space="0" w:color="auto"/>
            </w:tcBorders>
            <w:shd w:val="clear" w:color="auto" w:fill="auto"/>
            <w:noWrap/>
            <w:vAlign w:val="center"/>
            <w:hideMark/>
          </w:tcPr>
          <w:p w14:paraId="7E530EE9" w14:textId="77777777" w:rsidR="00896228" w:rsidRPr="00896228" w:rsidRDefault="00582BCB" w:rsidP="00896228">
            <w:pPr>
              <w:spacing w:after="0" w:line="240" w:lineRule="auto"/>
              <w:jc w:val="center"/>
              <w:rPr>
                <w:rFonts w:eastAsia="Times New Roman" w:cstheme="minorHAnsi"/>
                <w:b/>
                <w:color w:val="595959" w:themeColor="text1" w:themeTint="A6"/>
                <w:sz w:val="18"/>
                <w:szCs w:val="18"/>
                <w:lang w:val="en-US"/>
              </w:rPr>
            </w:pPr>
            <w:r>
              <w:rPr>
                <w:rFonts w:eastAsia="Times New Roman" w:cstheme="minorHAnsi"/>
                <w:b/>
                <w:color w:val="595959" w:themeColor="text1" w:themeTint="A6"/>
                <w:sz w:val="18"/>
                <w:szCs w:val="18"/>
              </w:rPr>
              <w:t>Ήπιο</w:t>
            </w:r>
            <w:r w:rsidRPr="00896228">
              <w:rPr>
                <w:rFonts w:eastAsia="Times New Roman" w:cstheme="minorHAnsi"/>
                <w:b/>
                <w:color w:val="595959" w:themeColor="text1" w:themeTint="A6"/>
                <w:sz w:val="18"/>
                <w:szCs w:val="18"/>
                <w:lang w:val="en-US"/>
              </w:rPr>
              <w:t xml:space="preserve"> </w:t>
            </w:r>
            <w:r w:rsidR="00896228" w:rsidRPr="00896228">
              <w:rPr>
                <w:rFonts w:eastAsia="Times New Roman" w:cstheme="minorHAnsi"/>
                <w:b/>
                <w:color w:val="595959" w:themeColor="text1" w:themeTint="A6"/>
                <w:sz w:val="18"/>
                <w:szCs w:val="18"/>
                <w:lang w:val="en-US"/>
              </w:rPr>
              <w:t>σενάριο</w:t>
            </w:r>
          </w:p>
        </w:tc>
        <w:tc>
          <w:tcPr>
            <w:tcW w:w="2693" w:type="dxa"/>
            <w:tcBorders>
              <w:left w:val="single" w:sz="4" w:space="0" w:color="auto"/>
              <w:bottom w:val="single" w:sz="4" w:space="0" w:color="auto"/>
              <w:right w:val="single" w:sz="4" w:space="0" w:color="auto"/>
            </w:tcBorders>
            <w:shd w:val="clear" w:color="auto" w:fill="auto"/>
            <w:noWrap/>
            <w:vAlign w:val="center"/>
            <w:hideMark/>
          </w:tcPr>
          <w:p w14:paraId="536FF0BD" w14:textId="77777777" w:rsidR="00896228" w:rsidRPr="00896228" w:rsidRDefault="00896228" w:rsidP="00896228">
            <w:pPr>
              <w:spacing w:after="0" w:line="240" w:lineRule="auto"/>
              <w:jc w:val="center"/>
              <w:rPr>
                <w:rFonts w:eastAsia="Times New Roman" w:cstheme="minorHAnsi"/>
                <w:b/>
                <w:color w:val="595959" w:themeColor="text1" w:themeTint="A6"/>
                <w:sz w:val="18"/>
                <w:szCs w:val="18"/>
                <w:lang w:val="en-US"/>
              </w:rPr>
            </w:pPr>
            <w:r w:rsidRPr="00896228">
              <w:rPr>
                <w:rFonts w:eastAsia="Times New Roman" w:cstheme="minorHAnsi"/>
                <w:b/>
                <w:color w:val="595959" w:themeColor="text1" w:themeTint="A6"/>
                <w:sz w:val="18"/>
                <w:szCs w:val="18"/>
                <w:lang w:val="en-US"/>
              </w:rPr>
              <w:t>Δυσμενές σενάριο</w:t>
            </w:r>
          </w:p>
        </w:tc>
        <w:tc>
          <w:tcPr>
            <w:tcW w:w="1218" w:type="dxa"/>
            <w:tcBorders>
              <w:left w:val="single" w:sz="4" w:space="0" w:color="auto"/>
              <w:bottom w:val="single" w:sz="4" w:space="0" w:color="auto"/>
            </w:tcBorders>
            <w:shd w:val="clear" w:color="auto" w:fill="auto"/>
            <w:noWrap/>
            <w:vAlign w:val="center"/>
            <w:hideMark/>
          </w:tcPr>
          <w:p w14:paraId="08735250" w14:textId="77777777" w:rsidR="00896228" w:rsidRPr="00896228" w:rsidRDefault="00896228" w:rsidP="00896228">
            <w:pPr>
              <w:spacing w:after="0" w:line="240" w:lineRule="auto"/>
              <w:jc w:val="center"/>
              <w:rPr>
                <w:rFonts w:eastAsia="Times New Roman" w:cstheme="minorHAnsi"/>
                <w:b/>
                <w:color w:val="595959" w:themeColor="text1" w:themeTint="A6"/>
                <w:sz w:val="18"/>
                <w:szCs w:val="18"/>
                <w:lang w:val="en-US"/>
              </w:rPr>
            </w:pPr>
          </w:p>
        </w:tc>
      </w:tr>
      <w:tr w:rsidR="000D0589" w:rsidRPr="00E25F60" w14:paraId="65B8FBBD" w14:textId="77777777" w:rsidTr="00E64879">
        <w:trPr>
          <w:trHeight w:val="1058"/>
        </w:trPr>
        <w:tc>
          <w:tcPr>
            <w:tcW w:w="1547" w:type="dxa"/>
            <w:tcBorders>
              <w:top w:val="single" w:sz="4" w:space="0" w:color="auto"/>
              <w:right w:val="single" w:sz="4" w:space="0" w:color="auto"/>
            </w:tcBorders>
            <w:shd w:val="clear" w:color="auto" w:fill="auto"/>
            <w:vAlign w:val="center"/>
          </w:tcPr>
          <w:p w14:paraId="11CA6C3F" w14:textId="77777777" w:rsidR="000D0589" w:rsidRPr="00107718" w:rsidRDefault="000D0589" w:rsidP="00896228">
            <w:pPr>
              <w:spacing w:after="0" w:line="240" w:lineRule="auto"/>
              <w:rPr>
                <w:rFonts w:eastAsia="Times New Roman" w:cstheme="minorHAnsi"/>
                <w:color w:val="595959" w:themeColor="text1" w:themeTint="A6"/>
                <w:sz w:val="18"/>
                <w:szCs w:val="18"/>
              </w:rPr>
            </w:pPr>
            <w:r w:rsidRPr="00107718">
              <w:rPr>
                <w:rFonts w:eastAsia="Times New Roman" w:cstheme="minorHAnsi"/>
                <w:color w:val="595959" w:themeColor="text1" w:themeTint="A6"/>
                <w:sz w:val="18"/>
                <w:szCs w:val="18"/>
              </w:rPr>
              <w:t>Τιμή πετρελαίου</w:t>
            </w:r>
          </w:p>
        </w:tc>
        <w:tc>
          <w:tcPr>
            <w:tcW w:w="2706" w:type="dxa"/>
            <w:tcBorders>
              <w:top w:val="single" w:sz="4" w:space="0" w:color="auto"/>
              <w:left w:val="single" w:sz="4" w:space="0" w:color="auto"/>
              <w:right w:val="single" w:sz="4" w:space="0" w:color="auto"/>
            </w:tcBorders>
            <w:shd w:val="clear" w:color="auto" w:fill="auto"/>
            <w:vAlign w:val="center"/>
          </w:tcPr>
          <w:p w14:paraId="1DA76E87" w14:textId="77777777" w:rsidR="000D0589" w:rsidRPr="00107718" w:rsidRDefault="0032533F" w:rsidP="0032533F">
            <w:pPr>
              <w:spacing w:after="0" w:line="240" w:lineRule="auto"/>
              <w:jc w:val="center"/>
              <w:rPr>
                <w:rFonts w:eastAsia="Times New Roman" w:cstheme="minorHAnsi"/>
                <w:color w:val="595959" w:themeColor="text1" w:themeTint="A6"/>
                <w:sz w:val="18"/>
                <w:szCs w:val="18"/>
              </w:rPr>
            </w:pPr>
            <w:r>
              <w:rPr>
                <w:rFonts w:eastAsia="Times New Roman" w:cstheme="minorHAnsi"/>
                <w:color w:val="595959" w:themeColor="text1" w:themeTint="A6"/>
                <w:sz w:val="18"/>
                <w:szCs w:val="18"/>
              </w:rPr>
              <w:t>-</w:t>
            </w:r>
          </w:p>
        </w:tc>
        <w:tc>
          <w:tcPr>
            <w:tcW w:w="2693" w:type="dxa"/>
            <w:tcBorders>
              <w:top w:val="single" w:sz="4" w:space="0" w:color="auto"/>
              <w:left w:val="single" w:sz="4" w:space="0" w:color="auto"/>
              <w:right w:val="single" w:sz="4" w:space="0" w:color="auto"/>
            </w:tcBorders>
            <w:shd w:val="clear" w:color="auto" w:fill="auto"/>
            <w:vAlign w:val="center"/>
          </w:tcPr>
          <w:p w14:paraId="3B47E904" w14:textId="77777777" w:rsidR="000D0589" w:rsidRPr="000D0589" w:rsidRDefault="000D0589" w:rsidP="008A6A8A">
            <w:pPr>
              <w:spacing w:after="0" w:line="240" w:lineRule="auto"/>
              <w:jc w:val="both"/>
              <w:rPr>
                <w:rFonts w:eastAsia="Times New Roman" w:cstheme="minorHAnsi"/>
                <w:color w:val="595959" w:themeColor="text1" w:themeTint="A6"/>
                <w:sz w:val="18"/>
                <w:szCs w:val="18"/>
              </w:rPr>
            </w:pPr>
            <w:r w:rsidRPr="00107718">
              <w:rPr>
                <w:rFonts w:eastAsia="Times New Roman" w:cstheme="minorHAnsi"/>
                <w:color w:val="595959" w:themeColor="text1" w:themeTint="A6"/>
                <w:sz w:val="18"/>
                <w:szCs w:val="18"/>
              </w:rPr>
              <w:t xml:space="preserve">Αύξηση </w:t>
            </w:r>
            <w:r w:rsidR="00E64879" w:rsidRPr="00107718">
              <w:rPr>
                <w:rFonts w:eastAsia="Times New Roman" w:cstheme="minorHAnsi"/>
                <w:color w:val="595959" w:themeColor="text1" w:themeTint="A6"/>
                <w:sz w:val="18"/>
                <w:szCs w:val="18"/>
              </w:rPr>
              <w:t xml:space="preserve">της μέσης διεθνούς τιμής αργού πετρελαίου </w:t>
            </w:r>
            <w:r w:rsidR="008A6A8A" w:rsidRPr="00107718">
              <w:rPr>
                <w:rFonts w:eastAsia="Times New Roman" w:cstheme="minorHAnsi"/>
                <w:color w:val="595959" w:themeColor="text1" w:themeTint="A6"/>
                <w:sz w:val="18"/>
                <w:szCs w:val="18"/>
              </w:rPr>
              <w:t xml:space="preserve">(βαρέλι) </w:t>
            </w:r>
            <w:r w:rsidR="00E64879" w:rsidRPr="00107718">
              <w:rPr>
                <w:rFonts w:eastAsia="Times New Roman" w:cstheme="minorHAnsi"/>
                <w:color w:val="595959" w:themeColor="text1" w:themeTint="A6"/>
                <w:sz w:val="18"/>
                <w:szCs w:val="18"/>
              </w:rPr>
              <w:t xml:space="preserve">κατά </w:t>
            </w:r>
            <w:r w:rsidRPr="00107718">
              <w:rPr>
                <w:rFonts w:eastAsia="Times New Roman" w:cstheme="minorHAnsi"/>
                <w:color w:val="595959" w:themeColor="text1" w:themeTint="A6"/>
                <w:sz w:val="18"/>
                <w:szCs w:val="18"/>
              </w:rPr>
              <w:t>50 δολάρια</w:t>
            </w:r>
          </w:p>
        </w:tc>
        <w:tc>
          <w:tcPr>
            <w:tcW w:w="1218" w:type="dxa"/>
            <w:tcBorders>
              <w:top w:val="single" w:sz="4" w:space="0" w:color="auto"/>
              <w:left w:val="single" w:sz="4" w:space="0" w:color="auto"/>
            </w:tcBorders>
            <w:shd w:val="clear" w:color="auto" w:fill="auto"/>
            <w:noWrap/>
            <w:vAlign w:val="center"/>
          </w:tcPr>
          <w:p w14:paraId="50C30C3A" w14:textId="77777777" w:rsidR="000D0589" w:rsidRPr="000D0589" w:rsidRDefault="000D0589" w:rsidP="00896228">
            <w:pPr>
              <w:spacing w:after="0" w:line="240" w:lineRule="auto"/>
              <w:jc w:val="center"/>
              <w:rPr>
                <w:rFonts w:eastAsia="Times New Roman" w:cstheme="minorHAnsi"/>
                <w:color w:val="595959" w:themeColor="text1" w:themeTint="A6"/>
                <w:sz w:val="18"/>
                <w:szCs w:val="18"/>
              </w:rPr>
            </w:pPr>
          </w:p>
        </w:tc>
      </w:tr>
      <w:tr w:rsidR="00E25F60" w:rsidRPr="00E25F60" w14:paraId="0D877EB5" w14:textId="77777777" w:rsidTr="00E64879">
        <w:trPr>
          <w:trHeight w:val="1058"/>
        </w:trPr>
        <w:tc>
          <w:tcPr>
            <w:tcW w:w="1547" w:type="dxa"/>
            <w:tcBorders>
              <w:right w:val="single" w:sz="4" w:space="0" w:color="auto"/>
            </w:tcBorders>
            <w:shd w:val="clear" w:color="auto" w:fill="auto"/>
            <w:vAlign w:val="center"/>
            <w:hideMark/>
          </w:tcPr>
          <w:p w14:paraId="049E665E" w14:textId="77777777" w:rsidR="00896228" w:rsidRPr="00896228" w:rsidRDefault="00896228" w:rsidP="00896228">
            <w:pPr>
              <w:spacing w:after="0" w:line="240" w:lineRule="auto"/>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Τιμή τροφίμων</w:t>
            </w:r>
          </w:p>
        </w:tc>
        <w:tc>
          <w:tcPr>
            <w:tcW w:w="2706" w:type="dxa"/>
            <w:tcBorders>
              <w:left w:val="single" w:sz="4" w:space="0" w:color="auto"/>
              <w:right w:val="single" w:sz="4" w:space="0" w:color="auto"/>
            </w:tcBorders>
            <w:shd w:val="clear" w:color="auto" w:fill="auto"/>
            <w:vAlign w:val="center"/>
            <w:hideMark/>
          </w:tcPr>
          <w:p w14:paraId="4BC9DC6B" w14:textId="77777777" w:rsidR="00896228" w:rsidRPr="00896228" w:rsidRDefault="00896228" w:rsidP="005C63CA">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Αύξηση της μέσης διεθνούς τιμής τροφίμων (</w:t>
            </w:r>
            <w:r w:rsidRPr="00896228">
              <w:rPr>
                <w:rFonts w:eastAsia="Times New Roman" w:cstheme="minorHAnsi"/>
                <w:color w:val="595959" w:themeColor="text1" w:themeTint="A6"/>
                <w:sz w:val="18"/>
                <w:szCs w:val="18"/>
                <w:lang w:val="en-US"/>
              </w:rPr>
              <w:t>Food</w:t>
            </w:r>
            <w:r w:rsidRPr="00896228">
              <w:rPr>
                <w:rFonts w:eastAsia="Times New Roman" w:cstheme="minorHAnsi"/>
                <w:color w:val="595959" w:themeColor="text1" w:themeTint="A6"/>
                <w:sz w:val="18"/>
                <w:szCs w:val="18"/>
              </w:rPr>
              <w:t xml:space="preserve"> </w:t>
            </w:r>
            <w:r w:rsidRPr="00896228">
              <w:rPr>
                <w:rFonts w:eastAsia="Times New Roman" w:cstheme="minorHAnsi"/>
                <w:color w:val="595959" w:themeColor="text1" w:themeTint="A6"/>
                <w:sz w:val="18"/>
                <w:szCs w:val="18"/>
                <w:lang w:val="en-US"/>
              </w:rPr>
              <w:t>price</w:t>
            </w:r>
            <w:r w:rsidRPr="00896228">
              <w:rPr>
                <w:rFonts w:eastAsia="Times New Roman" w:cstheme="minorHAnsi"/>
                <w:color w:val="595959" w:themeColor="text1" w:themeTint="A6"/>
                <w:sz w:val="18"/>
                <w:szCs w:val="18"/>
              </w:rPr>
              <w:t xml:space="preserve"> </w:t>
            </w:r>
            <w:r w:rsidRPr="00896228">
              <w:rPr>
                <w:rFonts w:eastAsia="Times New Roman" w:cstheme="minorHAnsi"/>
                <w:color w:val="595959" w:themeColor="text1" w:themeTint="A6"/>
                <w:sz w:val="18"/>
                <w:szCs w:val="18"/>
                <w:lang w:val="en-US"/>
              </w:rPr>
              <w:t>index</w:t>
            </w:r>
            <w:r w:rsidRPr="00896228">
              <w:rPr>
                <w:rFonts w:eastAsia="Times New Roman" w:cstheme="minorHAnsi"/>
                <w:color w:val="595959" w:themeColor="text1" w:themeTint="A6"/>
                <w:sz w:val="18"/>
                <w:szCs w:val="18"/>
              </w:rPr>
              <w:t xml:space="preserve">, </w:t>
            </w:r>
            <w:r w:rsidRPr="00896228">
              <w:rPr>
                <w:rFonts w:eastAsia="Times New Roman" w:cstheme="minorHAnsi"/>
                <w:color w:val="595959" w:themeColor="text1" w:themeTint="A6"/>
                <w:sz w:val="18"/>
                <w:szCs w:val="18"/>
                <w:lang w:val="en-US"/>
              </w:rPr>
              <w:t>IMF</w:t>
            </w:r>
            <w:r w:rsidRPr="00896228">
              <w:rPr>
                <w:rFonts w:eastAsia="Times New Roman" w:cstheme="minorHAnsi"/>
                <w:color w:val="595959" w:themeColor="text1" w:themeTint="A6"/>
                <w:sz w:val="18"/>
                <w:szCs w:val="18"/>
              </w:rPr>
              <w:t>) κατά 25%</w:t>
            </w:r>
          </w:p>
        </w:tc>
        <w:tc>
          <w:tcPr>
            <w:tcW w:w="2693" w:type="dxa"/>
            <w:tcBorders>
              <w:left w:val="single" w:sz="4" w:space="0" w:color="auto"/>
              <w:right w:val="single" w:sz="4" w:space="0" w:color="auto"/>
            </w:tcBorders>
            <w:shd w:val="clear" w:color="auto" w:fill="auto"/>
            <w:vAlign w:val="center"/>
            <w:hideMark/>
          </w:tcPr>
          <w:p w14:paraId="1A19DE86" w14:textId="77777777" w:rsidR="00896228" w:rsidRPr="00896228" w:rsidRDefault="00896228" w:rsidP="005C63CA">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Αύξηση της μέσης διεθνούς τιμής τροφίμων (</w:t>
            </w:r>
            <w:r w:rsidRPr="00896228">
              <w:rPr>
                <w:rFonts w:eastAsia="Times New Roman" w:cstheme="minorHAnsi"/>
                <w:color w:val="595959" w:themeColor="text1" w:themeTint="A6"/>
                <w:sz w:val="18"/>
                <w:szCs w:val="18"/>
                <w:lang w:val="en-US"/>
              </w:rPr>
              <w:t>Food</w:t>
            </w:r>
            <w:r w:rsidRPr="00896228">
              <w:rPr>
                <w:rFonts w:eastAsia="Times New Roman" w:cstheme="minorHAnsi"/>
                <w:color w:val="595959" w:themeColor="text1" w:themeTint="A6"/>
                <w:sz w:val="18"/>
                <w:szCs w:val="18"/>
              </w:rPr>
              <w:t xml:space="preserve"> </w:t>
            </w:r>
            <w:r w:rsidRPr="00896228">
              <w:rPr>
                <w:rFonts w:eastAsia="Times New Roman" w:cstheme="minorHAnsi"/>
                <w:color w:val="595959" w:themeColor="text1" w:themeTint="A6"/>
                <w:sz w:val="18"/>
                <w:szCs w:val="18"/>
                <w:lang w:val="en-US"/>
              </w:rPr>
              <w:t>price</w:t>
            </w:r>
            <w:r w:rsidRPr="00896228">
              <w:rPr>
                <w:rFonts w:eastAsia="Times New Roman" w:cstheme="minorHAnsi"/>
                <w:color w:val="595959" w:themeColor="text1" w:themeTint="A6"/>
                <w:sz w:val="18"/>
                <w:szCs w:val="18"/>
              </w:rPr>
              <w:t xml:space="preserve"> </w:t>
            </w:r>
            <w:r w:rsidRPr="00896228">
              <w:rPr>
                <w:rFonts w:eastAsia="Times New Roman" w:cstheme="minorHAnsi"/>
                <w:color w:val="595959" w:themeColor="text1" w:themeTint="A6"/>
                <w:sz w:val="18"/>
                <w:szCs w:val="18"/>
                <w:lang w:val="en-US"/>
              </w:rPr>
              <w:t>index</w:t>
            </w:r>
            <w:r w:rsidRPr="00896228">
              <w:rPr>
                <w:rFonts w:eastAsia="Times New Roman" w:cstheme="minorHAnsi"/>
                <w:color w:val="595959" w:themeColor="text1" w:themeTint="A6"/>
                <w:sz w:val="18"/>
                <w:szCs w:val="18"/>
              </w:rPr>
              <w:t xml:space="preserve">, </w:t>
            </w:r>
            <w:r w:rsidRPr="00896228">
              <w:rPr>
                <w:rFonts w:eastAsia="Times New Roman" w:cstheme="minorHAnsi"/>
                <w:color w:val="595959" w:themeColor="text1" w:themeTint="A6"/>
                <w:sz w:val="18"/>
                <w:szCs w:val="18"/>
                <w:lang w:val="en-US"/>
              </w:rPr>
              <w:t>IMF</w:t>
            </w:r>
            <w:r w:rsidRPr="00896228">
              <w:rPr>
                <w:rFonts w:eastAsia="Times New Roman" w:cstheme="minorHAnsi"/>
                <w:color w:val="595959" w:themeColor="text1" w:themeTint="A6"/>
                <w:sz w:val="18"/>
                <w:szCs w:val="18"/>
              </w:rPr>
              <w:t>) κατά 50%</w:t>
            </w:r>
          </w:p>
        </w:tc>
        <w:tc>
          <w:tcPr>
            <w:tcW w:w="1218" w:type="dxa"/>
            <w:tcBorders>
              <w:left w:val="single" w:sz="4" w:space="0" w:color="auto"/>
            </w:tcBorders>
            <w:shd w:val="clear" w:color="auto" w:fill="auto"/>
            <w:noWrap/>
            <w:vAlign w:val="center"/>
            <w:hideMark/>
          </w:tcPr>
          <w:p w14:paraId="6D7A7280" w14:textId="77777777" w:rsidR="00896228" w:rsidRPr="00896228" w:rsidRDefault="00896228" w:rsidP="00896228">
            <w:pPr>
              <w:spacing w:after="0" w:line="240" w:lineRule="auto"/>
              <w:jc w:val="center"/>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w:t>
            </w:r>
          </w:p>
        </w:tc>
      </w:tr>
      <w:tr w:rsidR="00E25F60" w:rsidRPr="00E25F60" w14:paraId="53C3D31C" w14:textId="77777777" w:rsidTr="000D0589">
        <w:trPr>
          <w:trHeight w:val="1189"/>
        </w:trPr>
        <w:tc>
          <w:tcPr>
            <w:tcW w:w="1547" w:type="dxa"/>
            <w:tcBorders>
              <w:right w:val="single" w:sz="4" w:space="0" w:color="auto"/>
            </w:tcBorders>
            <w:shd w:val="clear" w:color="auto" w:fill="auto"/>
            <w:vAlign w:val="center"/>
            <w:hideMark/>
          </w:tcPr>
          <w:p w14:paraId="22148FF1" w14:textId="77777777" w:rsidR="00896228" w:rsidRPr="00896228" w:rsidRDefault="00896228" w:rsidP="00896228">
            <w:pPr>
              <w:spacing w:after="0" w:line="240" w:lineRule="auto"/>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Τιμή φυσικού αερίου</w:t>
            </w:r>
          </w:p>
        </w:tc>
        <w:tc>
          <w:tcPr>
            <w:tcW w:w="2706" w:type="dxa"/>
            <w:tcBorders>
              <w:left w:val="single" w:sz="4" w:space="0" w:color="auto"/>
              <w:right w:val="single" w:sz="4" w:space="0" w:color="auto"/>
            </w:tcBorders>
            <w:shd w:val="clear" w:color="auto" w:fill="auto"/>
            <w:vAlign w:val="center"/>
            <w:hideMark/>
          </w:tcPr>
          <w:p w14:paraId="09E2CE25" w14:textId="77777777" w:rsidR="00896228" w:rsidRPr="00896228" w:rsidRDefault="00896228" w:rsidP="005C63CA">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 xml:space="preserve">Αύξηση της μέσης </w:t>
            </w:r>
            <w:r w:rsidR="00E64879">
              <w:rPr>
                <w:rFonts w:eastAsia="Times New Roman" w:cstheme="minorHAnsi"/>
                <w:color w:val="595959" w:themeColor="text1" w:themeTint="A6"/>
                <w:sz w:val="18"/>
                <w:szCs w:val="18"/>
              </w:rPr>
              <w:t xml:space="preserve">διεθνούς </w:t>
            </w:r>
            <w:r w:rsidRPr="00896228">
              <w:rPr>
                <w:rFonts w:eastAsia="Times New Roman" w:cstheme="minorHAnsi"/>
                <w:color w:val="595959" w:themeColor="text1" w:themeTint="A6"/>
                <w:sz w:val="18"/>
                <w:szCs w:val="18"/>
              </w:rPr>
              <w:t>τιμής φυσικού αερίου (ισοδύναμο βαρελιού πετρελαίου) κατά 50 δολάρια</w:t>
            </w:r>
          </w:p>
        </w:tc>
        <w:tc>
          <w:tcPr>
            <w:tcW w:w="2693" w:type="dxa"/>
            <w:tcBorders>
              <w:left w:val="single" w:sz="4" w:space="0" w:color="auto"/>
              <w:right w:val="single" w:sz="4" w:space="0" w:color="auto"/>
            </w:tcBorders>
            <w:shd w:val="clear" w:color="auto" w:fill="auto"/>
            <w:vAlign w:val="center"/>
            <w:hideMark/>
          </w:tcPr>
          <w:p w14:paraId="5D0B20C1" w14:textId="77777777" w:rsidR="00896228" w:rsidRPr="00896228" w:rsidRDefault="00896228" w:rsidP="005C63CA">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 xml:space="preserve">Αύξηση της μέσης </w:t>
            </w:r>
            <w:r w:rsidR="00E64879">
              <w:rPr>
                <w:rFonts w:eastAsia="Times New Roman" w:cstheme="minorHAnsi"/>
                <w:color w:val="595959" w:themeColor="text1" w:themeTint="A6"/>
                <w:sz w:val="18"/>
                <w:szCs w:val="18"/>
              </w:rPr>
              <w:t xml:space="preserve">διεθνούς </w:t>
            </w:r>
            <w:r w:rsidRPr="00896228">
              <w:rPr>
                <w:rFonts w:eastAsia="Times New Roman" w:cstheme="minorHAnsi"/>
                <w:color w:val="595959" w:themeColor="text1" w:themeTint="A6"/>
                <w:sz w:val="18"/>
                <w:szCs w:val="18"/>
              </w:rPr>
              <w:t>τιμής φυσικού αερίου (ισοδύναμο βαρελιού πετρελαίου) κατά 100 δολάρια</w:t>
            </w:r>
          </w:p>
        </w:tc>
        <w:tc>
          <w:tcPr>
            <w:tcW w:w="1218" w:type="dxa"/>
            <w:tcBorders>
              <w:left w:val="single" w:sz="4" w:space="0" w:color="auto"/>
            </w:tcBorders>
            <w:shd w:val="clear" w:color="auto" w:fill="auto"/>
            <w:noWrap/>
            <w:vAlign w:val="center"/>
            <w:hideMark/>
          </w:tcPr>
          <w:p w14:paraId="0EF4789D" w14:textId="77777777" w:rsidR="00896228" w:rsidRPr="00896228" w:rsidRDefault="00896228" w:rsidP="00896228">
            <w:pPr>
              <w:spacing w:after="0" w:line="240" w:lineRule="auto"/>
              <w:jc w:val="center"/>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w:t>
            </w:r>
          </w:p>
        </w:tc>
      </w:tr>
      <w:tr w:rsidR="00E25F60" w:rsidRPr="00E25F60" w14:paraId="537A2388" w14:textId="77777777" w:rsidTr="000D0589">
        <w:trPr>
          <w:trHeight w:val="979"/>
        </w:trPr>
        <w:tc>
          <w:tcPr>
            <w:tcW w:w="1547" w:type="dxa"/>
            <w:tcBorders>
              <w:bottom w:val="single" w:sz="4" w:space="0" w:color="auto"/>
              <w:right w:val="single" w:sz="4" w:space="0" w:color="auto"/>
            </w:tcBorders>
            <w:shd w:val="clear" w:color="auto" w:fill="auto"/>
            <w:vAlign w:val="center"/>
            <w:hideMark/>
          </w:tcPr>
          <w:p w14:paraId="1A86BC3B" w14:textId="77777777" w:rsidR="00896228" w:rsidRPr="00896228" w:rsidRDefault="00896228" w:rsidP="00896228">
            <w:pPr>
              <w:spacing w:after="0" w:line="240" w:lineRule="auto"/>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Ελληνικά επιτόκια</w:t>
            </w:r>
          </w:p>
        </w:tc>
        <w:tc>
          <w:tcPr>
            <w:tcW w:w="2706" w:type="dxa"/>
            <w:tcBorders>
              <w:left w:val="single" w:sz="4" w:space="0" w:color="auto"/>
              <w:bottom w:val="single" w:sz="4" w:space="0" w:color="auto"/>
              <w:right w:val="single" w:sz="4" w:space="0" w:color="auto"/>
            </w:tcBorders>
            <w:shd w:val="clear" w:color="auto" w:fill="auto"/>
            <w:vAlign w:val="center"/>
            <w:hideMark/>
          </w:tcPr>
          <w:p w14:paraId="3DEFDBDB" w14:textId="77777777" w:rsidR="00896228" w:rsidRPr="00896228" w:rsidRDefault="00896228" w:rsidP="005C63CA">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Επιπλέον αύξηση</w:t>
            </w:r>
            <w:r w:rsidR="008C0CB4">
              <w:rPr>
                <w:rFonts w:eastAsia="Times New Roman" w:cstheme="minorHAnsi"/>
                <w:color w:val="595959" w:themeColor="text1" w:themeTint="A6"/>
                <w:sz w:val="18"/>
                <w:szCs w:val="18"/>
              </w:rPr>
              <w:t xml:space="preserve"> κινδύνου</w:t>
            </w:r>
            <w:r w:rsidRPr="00896228">
              <w:rPr>
                <w:rFonts w:eastAsia="Times New Roman" w:cstheme="minorHAnsi"/>
                <w:color w:val="595959" w:themeColor="text1" w:themeTint="A6"/>
                <w:sz w:val="18"/>
                <w:szCs w:val="18"/>
              </w:rPr>
              <w:t xml:space="preserve"> </w:t>
            </w:r>
            <w:r w:rsidR="005F507F">
              <w:rPr>
                <w:rFonts w:eastAsia="Times New Roman" w:cstheme="minorHAnsi"/>
                <w:color w:val="595959" w:themeColor="text1" w:themeTint="A6"/>
                <w:sz w:val="18"/>
                <w:szCs w:val="18"/>
              </w:rPr>
              <w:t xml:space="preserve">δημόσιου δανεισμού με αύξηση </w:t>
            </w:r>
            <w:r w:rsidRPr="00896228">
              <w:rPr>
                <w:rFonts w:eastAsia="Times New Roman" w:cstheme="minorHAnsi"/>
                <w:color w:val="595959" w:themeColor="text1" w:themeTint="A6"/>
                <w:sz w:val="18"/>
                <w:szCs w:val="18"/>
              </w:rPr>
              <w:t xml:space="preserve">επιτοκίου ελληνικών </w:t>
            </w:r>
            <w:r w:rsidR="008C0CB4">
              <w:rPr>
                <w:rFonts w:eastAsia="Times New Roman" w:cstheme="minorHAnsi"/>
                <w:color w:val="595959" w:themeColor="text1" w:themeTint="A6"/>
                <w:sz w:val="18"/>
                <w:szCs w:val="18"/>
              </w:rPr>
              <w:t xml:space="preserve">κρατικών </w:t>
            </w:r>
            <w:r w:rsidRPr="00896228">
              <w:rPr>
                <w:rFonts w:eastAsia="Times New Roman" w:cstheme="minorHAnsi"/>
                <w:color w:val="595959" w:themeColor="text1" w:themeTint="A6"/>
                <w:sz w:val="18"/>
                <w:szCs w:val="18"/>
              </w:rPr>
              <w:t>ομολόγων κατά 1 ποσοστιαία μονάδα</w:t>
            </w:r>
          </w:p>
        </w:tc>
        <w:tc>
          <w:tcPr>
            <w:tcW w:w="2693" w:type="dxa"/>
            <w:tcBorders>
              <w:left w:val="single" w:sz="4" w:space="0" w:color="auto"/>
              <w:bottom w:val="single" w:sz="4" w:space="0" w:color="auto"/>
              <w:right w:val="single" w:sz="4" w:space="0" w:color="auto"/>
            </w:tcBorders>
            <w:shd w:val="clear" w:color="auto" w:fill="auto"/>
            <w:vAlign w:val="center"/>
            <w:hideMark/>
          </w:tcPr>
          <w:p w14:paraId="35D231C8" w14:textId="77777777" w:rsidR="00896228" w:rsidRPr="00896228" w:rsidRDefault="00896228" w:rsidP="005C63CA">
            <w:pPr>
              <w:spacing w:after="0" w:line="240" w:lineRule="auto"/>
              <w:jc w:val="both"/>
              <w:rPr>
                <w:rFonts w:eastAsia="Times New Roman" w:cstheme="minorHAnsi"/>
                <w:color w:val="595959" w:themeColor="text1" w:themeTint="A6"/>
                <w:sz w:val="18"/>
                <w:szCs w:val="18"/>
              </w:rPr>
            </w:pPr>
            <w:r w:rsidRPr="00896228">
              <w:rPr>
                <w:rFonts w:eastAsia="Times New Roman" w:cstheme="minorHAnsi"/>
                <w:color w:val="595959" w:themeColor="text1" w:themeTint="A6"/>
                <w:sz w:val="18"/>
                <w:szCs w:val="18"/>
              </w:rPr>
              <w:t xml:space="preserve">Επιπλέον αύξηση </w:t>
            </w:r>
            <w:r w:rsidR="008C0CB4">
              <w:rPr>
                <w:rFonts w:eastAsia="Times New Roman" w:cstheme="minorHAnsi"/>
                <w:color w:val="595959" w:themeColor="text1" w:themeTint="A6"/>
                <w:sz w:val="18"/>
                <w:szCs w:val="18"/>
              </w:rPr>
              <w:t xml:space="preserve">κινδύνου </w:t>
            </w:r>
            <w:r w:rsidR="005F507F">
              <w:rPr>
                <w:rFonts w:eastAsia="Times New Roman" w:cstheme="minorHAnsi"/>
                <w:color w:val="595959" w:themeColor="text1" w:themeTint="A6"/>
                <w:sz w:val="18"/>
                <w:szCs w:val="18"/>
              </w:rPr>
              <w:t xml:space="preserve">δημόσιου δανεισμού με αύξηση </w:t>
            </w:r>
            <w:r w:rsidRPr="00896228">
              <w:rPr>
                <w:rFonts w:eastAsia="Times New Roman" w:cstheme="minorHAnsi"/>
                <w:color w:val="595959" w:themeColor="text1" w:themeTint="A6"/>
                <w:sz w:val="18"/>
                <w:szCs w:val="18"/>
              </w:rPr>
              <w:t xml:space="preserve">επιτοκίου ελληνικών </w:t>
            </w:r>
            <w:r w:rsidR="008C0CB4">
              <w:rPr>
                <w:rFonts w:eastAsia="Times New Roman" w:cstheme="minorHAnsi"/>
                <w:color w:val="595959" w:themeColor="text1" w:themeTint="A6"/>
                <w:sz w:val="18"/>
                <w:szCs w:val="18"/>
              </w:rPr>
              <w:t xml:space="preserve">κρατικών </w:t>
            </w:r>
            <w:r w:rsidRPr="00896228">
              <w:rPr>
                <w:rFonts w:eastAsia="Times New Roman" w:cstheme="minorHAnsi"/>
                <w:color w:val="595959" w:themeColor="text1" w:themeTint="A6"/>
                <w:sz w:val="18"/>
                <w:szCs w:val="18"/>
              </w:rPr>
              <w:t>ομολόγων κατά 2 ποσοστιαίες μονάδες</w:t>
            </w:r>
          </w:p>
        </w:tc>
        <w:tc>
          <w:tcPr>
            <w:tcW w:w="1218" w:type="dxa"/>
            <w:tcBorders>
              <w:left w:val="single" w:sz="4" w:space="0" w:color="auto"/>
              <w:bottom w:val="single" w:sz="4" w:space="0" w:color="auto"/>
            </w:tcBorders>
            <w:shd w:val="clear" w:color="auto" w:fill="auto"/>
            <w:noWrap/>
            <w:vAlign w:val="center"/>
            <w:hideMark/>
          </w:tcPr>
          <w:p w14:paraId="5BCC9B99" w14:textId="77777777" w:rsidR="00896228" w:rsidRPr="00896228" w:rsidRDefault="00896228" w:rsidP="00896228">
            <w:pPr>
              <w:spacing w:after="0" w:line="240" w:lineRule="auto"/>
              <w:jc w:val="center"/>
              <w:rPr>
                <w:rFonts w:eastAsia="Times New Roman" w:cstheme="minorHAnsi"/>
                <w:color w:val="595959" w:themeColor="text1" w:themeTint="A6"/>
                <w:sz w:val="18"/>
                <w:szCs w:val="18"/>
                <w:lang w:val="en-US"/>
              </w:rPr>
            </w:pPr>
            <w:r w:rsidRPr="00896228">
              <w:rPr>
                <w:rFonts w:eastAsia="Times New Roman" w:cstheme="minorHAnsi"/>
                <w:color w:val="595959" w:themeColor="text1" w:themeTint="A6"/>
                <w:sz w:val="18"/>
                <w:szCs w:val="18"/>
                <w:lang w:val="en-US"/>
              </w:rPr>
              <w:t>-</w:t>
            </w:r>
          </w:p>
        </w:tc>
      </w:tr>
      <w:tr w:rsidR="00E25F60" w:rsidRPr="00E25F60" w14:paraId="7529C39D" w14:textId="77777777" w:rsidTr="000D0589">
        <w:trPr>
          <w:trHeight w:val="806"/>
        </w:trPr>
        <w:tc>
          <w:tcPr>
            <w:tcW w:w="1547" w:type="dxa"/>
            <w:tcBorders>
              <w:top w:val="single" w:sz="4" w:space="0" w:color="auto"/>
              <w:bottom w:val="single" w:sz="4" w:space="0" w:color="auto"/>
              <w:right w:val="single" w:sz="4" w:space="0" w:color="auto"/>
            </w:tcBorders>
            <w:shd w:val="clear" w:color="auto" w:fill="auto"/>
            <w:vAlign w:val="center"/>
            <w:hideMark/>
          </w:tcPr>
          <w:p w14:paraId="0FB20847" w14:textId="77777777" w:rsidR="00896228" w:rsidRPr="00896228" w:rsidRDefault="00D20D04" w:rsidP="000D0589">
            <w:pPr>
              <w:spacing w:after="0" w:line="240" w:lineRule="auto"/>
              <w:rPr>
                <w:rFonts w:eastAsia="Times New Roman" w:cstheme="minorHAnsi"/>
                <w:b/>
                <w:color w:val="595959" w:themeColor="text1" w:themeTint="A6"/>
                <w:sz w:val="18"/>
                <w:szCs w:val="18"/>
              </w:rPr>
            </w:pPr>
            <w:r w:rsidRPr="00E25F60">
              <w:rPr>
                <w:rFonts w:eastAsia="Times New Roman" w:cstheme="minorHAnsi"/>
                <w:b/>
                <w:color w:val="595959" w:themeColor="text1" w:themeTint="A6"/>
                <w:sz w:val="18"/>
                <w:szCs w:val="18"/>
              </w:rPr>
              <w:t>Ρ</w:t>
            </w:r>
            <w:r w:rsidR="00896228" w:rsidRPr="00896228">
              <w:rPr>
                <w:rFonts w:eastAsia="Times New Roman" w:cstheme="minorHAnsi"/>
                <w:b/>
                <w:color w:val="595959" w:themeColor="text1" w:themeTint="A6"/>
                <w:sz w:val="18"/>
                <w:szCs w:val="18"/>
              </w:rPr>
              <w:t xml:space="preserve">υθμός μεγέθυνσης </w:t>
            </w:r>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4468A" w14:textId="77777777" w:rsidR="00896228" w:rsidRPr="0075314C" w:rsidRDefault="00896228" w:rsidP="00107718">
            <w:pPr>
              <w:spacing w:after="0" w:line="240" w:lineRule="auto"/>
              <w:jc w:val="center"/>
              <w:rPr>
                <w:rFonts w:eastAsia="Times New Roman" w:cstheme="minorHAnsi"/>
                <w:b/>
                <w:color w:val="595959" w:themeColor="text1" w:themeTint="A6"/>
                <w:sz w:val="18"/>
                <w:szCs w:val="18"/>
              </w:rPr>
            </w:pPr>
            <w:r w:rsidRPr="00896228">
              <w:rPr>
                <w:rFonts w:eastAsia="Times New Roman" w:cstheme="minorHAnsi"/>
                <w:b/>
                <w:color w:val="595959" w:themeColor="text1" w:themeTint="A6"/>
                <w:sz w:val="18"/>
                <w:szCs w:val="18"/>
                <w:lang w:val="en-US"/>
              </w:rPr>
              <w:t>2,75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2DF32" w14:textId="77777777" w:rsidR="00896228" w:rsidRPr="00107718" w:rsidRDefault="0075314C" w:rsidP="00107718">
            <w:pPr>
              <w:spacing w:after="0" w:line="240" w:lineRule="auto"/>
              <w:jc w:val="center"/>
              <w:rPr>
                <w:rFonts w:eastAsia="Times New Roman" w:cstheme="minorHAnsi"/>
                <w:b/>
                <w:color w:val="595959" w:themeColor="text1" w:themeTint="A6"/>
                <w:sz w:val="18"/>
                <w:szCs w:val="18"/>
              </w:rPr>
            </w:pPr>
            <w:r w:rsidRPr="00107718">
              <w:rPr>
                <w:rFonts w:eastAsia="Times New Roman" w:cstheme="minorHAnsi"/>
                <w:b/>
                <w:color w:val="595959" w:themeColor="text1" w:themeTint="A6"/>
                <w:sz w:val="18"/>
                <w:szCs w:val="18"/>
              </w:rPr>
              <w:t>2,21</w:t>
            </w:r>
          </w:p>
        </w:tc>
        <w:tc>
          <w:tcPr>
            <w:tcW w:w="1218" w:type="dxa"/>
            <w:tcBorders>
              <w:top w:val="single" w:sz="4" w:space="0" w:color="auto"/>
              <w:left w:val="single" w:sz="4" w:space="0" w:color="auto"/>
              <w:bottom w:val="single" w:sz="4" w:space="0" w:color="auto"/>
            </w:tcBorders>
            <w:shd w:val="clear" w:color="auto" w:fill="auto"/>
            <w:noWrap/>
            <w:vAlign w:val="center"/>
            <w:hideMark/>
          </w:tcPr>
          <w:p w14:paraId="11794A72" w14:textId="77777777" w:rsidR="00896228" w:rsidRPr="00896228" w:rsidRDefault="00896228" w:rsidP="00896228">
            <w:pPr>
              <w:spacing w:after="0" w:line="240" w:lineRule="auto"/>
              <w:jc w:val="center"/>
              <w:rPr>
                <w:rFonts w:eastAsia="Times New Roman" w:cstheme="minorHAnsi"/>
                <w:b/>
                <w:color w:val="595959" w:themeColor="text1" w:themeTint="A6"/>
                <w:sz w:val="18"/>
                <w:szCs w:val="18"/>
                <w:lang w:val="en-US"/>
              </w:rPr>
            </w:pPr>
            <w:r w:rsidRPr="00896228">
              <w:rPr>
                <w:rFonts w:eastAsia="Times New Roman" w:cstheme="minorHAnsi"/>
                <w:b/>
                <w:color w:val="595959" w:themeColor="text1" w:themeTint="A6"/>
                <w:sz w:val="18"/>
                <w:szCs w:val="18"/>
                <w:lang w:val="en-US"/>
              </w:rPr>
              <w:t>3,58</w:t>
            </w:r>
          </w:p>
        </w:tc>
      </w:tr>
      <w:tr w:rsidR="00E25F60" w:rsidRPr="00E25F60" w14:paraId="4D38D948" w14:textId="77777777" w:rsidTr="000D0589">
        <w:trPr>
          <w:trHeight w:val="835"/>
        </w:trPr>
        <w:tc>
          <w:tcPr>
            <w:tcW w:w="1547" w:type="dxa"/>
            <w:tcBorders>
              <w:top w:val="single" w:sz="4" w:space="0" w:color="auto"/>
              <w:bottom w:val="single" w:sz="4" w:space="0" w:color="auto"/>
              <w:right w:val="single" w:sz="4" w:space="0" w:color="auto"/>
            </w:tcBorders>
            <w:shd w:val="clear" w:color="auto" w:fill="auto"/>
            <w:vAlign w:val="center"/>
            <w:hideMark/>
          </w:tcPr>
          <w:p w14:paraId="5E4253D2" w14:textId="77777777" w:rsidR="00896228" w:rsidRPr="00646D03" w:rsidRDefault="00896228" w:rsidP="00896228">
            <w:pPr>
              <w:spacing w:after="0" w:line="240" w:lineRule="auto"/>
              <w:rPr>
                <w:rFonts w:eastAsia="Times New Roman" w:cstheme="minorHAnsi"/>
                <w:b/>
                <w:color w:val="595959" w:themeColor="text1" w:themeTint="A6"/>
                <w:sz w:val="18"/>
                <w:szCs w:val="18"/>
                <w:lang w:val="en-US"/>
              </w:rPr>
            </w:pPr>
            <w:r w:rsidRPr="00896228">
              <w:rPr>
                <w:rFonts w:eastAsia="Times New Roman" w:cstheme="minorHAnsi"/>
                <w:b/>
                <w:color w:val="595959" w:themeColor="text1" w:themeTint="A6"/>
                <w:sz w:val="18"/>
                <w:szCs w:val="18"/>
                <w:lang w:val="en-US"/>
              </w:rPr>
              <w:t>Πληθωρισμός (εναρμονισμένος δείκτης)</w:t>
            </w:r>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68DCF" w14:textId="77777777" w:rsidR="00896228" w:rsidRPr="005F507F" w:rsidRDefault="005F507F" w:rsidP="00107718">
            <w:pPr>
              <w:spacing w:after="0" w:line="240" w:lineRule="auto"/>
              <w:jc w:val="center"/>
              <w:rPr>
                <w:rFonts w:eastAsia="Times New Roman" w:cstheme="minorHAnsi"/>
                <w:b/>
                <w:color w:val="595959" w:themeColor="text1" w:themeTint="A6"/>
                <w:sz w:val="18"/>
                <w:szCs w:val="18"/>
              </w:rPr>
            </w:pPr>
            <w:r>
              <w:rPr>
                <w:rFonts w:eastAsia="Times New Roman" w:cstheme="minorHAnsi"/>
                <w:b/>
                <w:color w:val="595959" w:themeColor="text1" w:themeTint="A6"/>
                <w:sz w:val="18"/>
                <w:szCs w:val="18"/>
              </w:rPr>
              <w:t>7,43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B14F7" w14:textId="77777777" w:rsidR="00896228" w:rsidRPr="00107718" w:rsidRDefault="0075314C" w:rsidP="005F507F">
            <w:pPr>
              <w:spacing w:after="0" w:line="240" w:lineRule="auto"/>
              <w:jc w:val="center"/>
              <w:rPr>
                <w:rFonts w:eastAsia="Times New Roman" w:cstheme="minorHAnsi"/>
                <w:b/>
                <w:color w:val="595959" w:themeColor="text1" w:themeTint="A6"/>
                <w:sz w:val="18"/>
                <w:szCs w:val="18"/>
                <w:lang w:val="en-US"/>
              </w:rPr>
            </w:pPr>
            <w:r w:rsidRPr="00107718">
              <w:rPr>
                <w:rFonts w:eastAsia="Times New Roman" w:cstheme="minorHAnsi"/>
                <w:b/>
                <w:color w:val="595959" w:themeColor="text1" w:themeTint="A6"/>
                <w:sz w:val="18"/>
                <w:szCs w:val="18"/>
              </w:rPr>
              <w:t>11</w:t>
            </w:r>
            <w:r w:rsidR="00107718">
              <w:rPr>
                <w:rFonts w:eastAsia="Times New Roman" w:cstheme="minorHAnsi"/>
                <w:b/>
                <w:color w:val="595959" w:themeColor="text1" w:themeTint="A6"/>
                <w:sz w:val="18"/>
                <w:szCs w:val="18"/>
              </w:rPr>
              <w:t>,01</w:t>
            </w:r>
          </w:p>
        </w:tc>
        <w:tc>
          <w:tcPr>
            <w:tcW w:w="1218" w:type="dxa"/>
            <w:tcBorders>
              <w:top w:val="single" w:sz="4" w:space="0" w:color="auto"/>
              <w:left w:val="single" w:sz="4" w:space="0" w:color="auto"/>
              <w:bottom w:val="single" w:sz="4" w:space="0" w:color="auto"/>
            </w:tcBorders>
            <w:shd w:val="clear" w:color="auto" w:fill="auto"/>
            <w:noWrap/>
            <w:vAlign w:val="center"/>
            <w:hideMark/>
          </w:tcPr>
          <w:p w14:paraId="44F02E9B" w14:textId="77777777" w:rsidR="00896228" w:rsidRPr="005F507F" w:rsidRDefault="005F507F" w:rsidP="005F507F">
            <w:pPr>
              <w:spacing w:after="0" w:line="240" w:lineRule="auto"/>
              <w:jc w:val="center"/>
              <w:rPr>
                <w:rFonts w:eastAsia="Times New Roman" w:cstheme="minorHAnsi"/>
                <w:b/>
                <w:color w:val="595959" w:themeColor="text1" w:themeTint="A6"/>
                <w:sz w:val="18"/>
                <w:szCs w:val="18"/>
              </w:rPr>
            </w:pPr>
            <w:r>
              <w:rPr>
                <w:rFonts w:eastAsia="Times New Roman" w:cstheme="minorHAnsi"/>
                <w:b/>
                <w:color w:val="595959" w:themeColor="text1" w:themeTint="A6"/>
                <w:sz w:val="18"/>
                <w:szCs w:val="18"/>
              </w:rPr>
              <w:t>6,99</w:t>
            </w:r>
          </w:p>
        </w:tc>
      </w:tr>
      <w:tr w:rsidR="00FF73F9" w:rsidRPr="00E25F60" w14:paraId="7892E09F" w14:textId="77777777" w:rsidTr="00FF73F9">
        <w:trPr>
          <w:trHeight w:val="278"/>
        </w:trPr>
        <w:tc>
          <w:tcPr>
            <w:tcW w:w="8164" w:type="dxa"/>
            <w:gridSpan w:val="4"/>
            <w:tcBorders>
              <w:top w:val="single" w:sz="4" w:space="0" w:color="auto"/>
            </w:tcBorders>
            <w:shd w:val="clear" w:color="auto" w:fill="auto"/>
            <w:noWrap/>
            <w:vAlign w:val="bottom"/>
            <w:hideMark/>
          </w:tcPr>
          <w:p w14:paraId="18F48B5B" w14:textId="77777777" w:rsidR="00FF73F9" w:rsidRPr="00FF73F9" w:rsidRDefault="00FF73F9" w:rsidP="000D0589">
            <w:pPr>
              <w:spacing w:after="0" w:line="240" w:lineRule="auto"/>
              <w:rPr>
                <w:rFonts w:eastAsia="Times New Roman" w:cstheme="minorHAnsi"/>
                <w:color w:val="595959" w:themeColor="text1" w:themeTint="A6"/>
                <w:sz w:val="18"/>
                <w:szCs w:val="18"/>
              </w:rPr>
            </w:pPr>
            <w:r>
              <w:rPr>
                <w:rFonts w:eastAsia="Times New Roman" w:cstheme="minorHAnsi"/>
                <w:color w:val="595959" w:themeColor="text1" w:themeTint="A6"/>
                <w:sz w:val="18"/>
                <w:szCs w:val="18"/>
              </w:rPr>
              <w:t xml:space="preserve">Πηγή: Υπόδειγμα </w:t>
            </w:r>
            <w:r>
              <w:rPr>
                <w:rFonts w:eastAsia="Times New Roman" w:cstheme="minorHAnsi"/>
                <w:color w:val="595959" w:themeColor="text1" w:themeTint="A6"/>
                <w:sz w:val="18"/>
                <w:szCs w:val="18"/>
                <w:lang w:val="en-US"/>
              </w:rPr>
              <w:t>NIGEM</w:t>
            </w:r>
            <w:r w:rsidRPr="00FF73F9">
              <w:rPr>
                <w:rFonts w:eastAsia="Times New Roman" w:cstheme="minorHAnsi"/>
                <w:color w:val="595959" w:themeColor="text1" w:themeTint="A6"/>
                <w:sz w:val="18"/>
                <w:szCs w:val="18"/>
              </w:rPr>
              <w:t xml:space="preserve"> </w:t>
            </w:r>
            <w:r w:rsidR="008E7665">
              <w:rPr>
                <w:rFonts w:eastAsia="Times New Roman" w:cstheme="minorHAnsi"/>
                <w:color w:val="595959" w:themeColor="text1" w:themeTint="A6"/>
                <w:sz w:val="18"/>
                <w:szCs w:val="18"/>
              </w:rPr>
              <w:t>(</w:t>
            </w:r>
            <w:r w:rsidR="008E7665">
              <w:rPr>
                <w:rFonts w:eastAsia="Times New Roman" w:cstheme="minorHAnsi"/>
                <w:color w:val="595959" w:themeColor="text1" w:themeTint="A6"/>
                <w:sz w:val="18"/>
                <w:szCs w:val="18"/>
                <w:lang w:val="en-US"/>
              </w:rPr>
              <w:t>National</w:t>
            </w:r>
            <w:r w:rsidR="008E7665" w:rsidRPr="008E7665">
              <w:rPr>
                <w:rFonts w:eastAsia="Times New Roman" w:cstheme="minorHAnsi"/>
                <w:color w:val="595959" w:themeColor="text1" w:themeTint="A6"/>
                <w:sz w:val="18"/>
                <w:szCs w:val="18"/>
              </w:rPr>
              <w:t xml:space="preserve"> </w:t>
            </w:r>
            <w:r w:rsidR="008E7665">
              <w:rPr>
                <w:rFonts w:eastAsia="Times New Roman" w:cstheme="minorHAnsi"/>
                <w:color w:val="595959" w:themeColor="text1" w:themeTint="A6"/>
                <w:sz w:val="18"/>
                <w:szCs w:val="18"/>
                <w:lang w:val="en-US"/>
              </w:rPr>
              <w:t>Institute</w:t>
            </w:r>
            <w:r w:rsidR="008E7665" w:rsidRPr="008E7665">
              <w:rPr>
                <w:rFonts w:eastAsia="Times New Roman" w:cstheme="minorHAnsi"/>
                <w:color w:val="595959" w:themeColor="text1" w:themeTint="A6"/>
                <w:sz w:val="18"/>
                <w:szCs w:val="18"/>
              </w:rPr>
              <w:t xml:space="preserve"> </w:t>
            </w:r>
            <w:r w:rsidR="008E7665">
              <w:rPr>
                <w:rFonts w:eastAsia="Times New Roman" w:cstheme="minorHAnsi"/>
                <w:color w:val="595959" w:themeColor="text1" w:themeTint="A6"/>
                <w:sz w:val="18"/>
                <w:szCs w:val="18"/>
                <w:lang w:val="en-US"/>
              </w:rPr>
              <w:t>Global</w:t>
            </w:r>
            <w:r w:rsidR="008E7665" w:rsidRPr="008E7665">
              <w:rPr>
                <w:rFonts w:eastAsia="Times New Roman" w:cstheme="minorHAnsi"/>
                <w:color w:val="595959" w:themeColor="text1" w:themeTint="A6"/>
                <w:sz w:val="18"/>
                <w:szCs w:val="18"/>
              </w:rPr>
              <w:t xml:space="preserve"> </w:t>
            </w:r>
            <w:r w:rsidR="008E7665">
              <w:rPr>
                <w:rFonts w:eastAsia="Times New Roman" w:cstheme="minorHAnsi"/>
                <w:color w:val="595959" w:themeColor="text1" w:themeTint="A6"/>
                <w:sz w:val="18"/>
                <w:szCs w:val="18"/>
                <w:lang w:val="en-US"/>
              </w:rPr>
              <w:t>Econometric</w:t>
            </w:r>
            <w:r w:rsidR="008E7665" w:rsidRPr="008E7665">
              <w:rPr>
                <w:rFonts w:eastAsia="Times New Roman" w:cstheme="minorHAnsi"/>
                <w:color w:val="595959" w:themeColor="text1" w:themeTint="A6"/>
                <w:sz w:val="18"/>
                <w:szCs w:val="18"/>
              </w:rPr>
              <w:t xml:space="preserve"> </w:t>
            </w:r>
            <w:r w:rsidR="008E7665">
              <w:rPr>
                <w:rFonts w:eastAsia="Times New Roman" w:cstheme="minorHAnsi"/>
                <w:color w:val="595959" w:themeColor="text1" w:themeTint="A6"/>
                <w:sz w:val="18"/>
                <w:szCs w:val="18"/>
                <w:lang w:val="en-US"/>
              </w:rPr>
              <w:t>Model</w:t>
            </w:r>
            <w:r w:rsidR="008E7665" w:rsidRPr="008E7665">
              <w:rPr>
                <w:rFonts w:eastAsia="Times New Roman" w:cstheme="minorHAnsi"/>
                <w:color w:val="595959" w:themeColor="text1" w:themeTint="A6"/>
                <w:sz w:val="18"/>
                <w:szCs w:val="18"/>
              </w:rPr>
              <w:t xml:space="preserve">) </w:t>
            </w:r>
            <w:r w:rsidR="000D0589">
              <w:rPr>
                <w:rFonts w:eastAsia="Times New Roman" w:cstheme="minorHAnsi"/>
                <w:color w:val="595959" w:themeColor="text1" w:themeTint="A6"/>
                <w:sz w:val="18"/>
                <w:szCs w:val="18"/>
              </w:rPr>
              <w:t>και σενάρια</w:t>
            </w:r>
            <w:r w:rsidR="008E7665">
              <w:rPr>
                <w:rFonts w:eastAsia="Times New Roman" w:cstheme="minorHAnsi"/>
                <w:color w:val="595959" w:themeColor="text1" w:themeTint="A6"/>
                <w:sz w:val="18"/>
                <w:szCs w:val="18"/>
              </w:rPr>
              <w:t xml:space="preserve"> Γραφείου Προϋπολογισμού του Κράτους στη Βουλή</w:t>
            </w:r>
          </w:p>
        </w:tc>
      </w:tr>
    </w:tbl>
    <w:p w14:paraId="35C0274D" w14:textId="77777777" w:rsidR="006F299D" w:rsidRPr="008C25D8" w:rsidRDefault="006F299D" w:rsidP="00646BE3">
      <w:pPr>
        <w:autoSpaceDE w:val="0"/>
        <w:autoSpaceDN w:val="0"/>
        <w:adjustRightInd w:val="0"/>
        <w:spacing w:after="0" w:line="276" w:lineRule="auto"/>
        <w:jc w:val="both"/>
        <w:rPr>
          <w:rFonts w:ascii="Calibri" w:eastAsia="Calibri" w:hAnsi="Calibri" w:cs="Calibri"/>
          <w:color w:val="595959"/>
        </w:rPr>
      </w:pPr>
    </w:p>
    <w:p w14:paraId="27B09269" w14:textId="77777777" w:rsidR="006F299D" w:rsidRDefault="006F299D" w:rsidP="000B0F6D">
      <w:pPr>
        <w:pStyle w:val="Heading3"/>
        <w:spacing w:before="0"/>
      </w:pPr>
      <w:bookmarkStart w:id="43" w:name="_Toc90033335"/>
      <w:bookmarkStart w:id="44" w:name="_Toc98160519"/>
      <w:bookmarkStart w:id="45" w:name="_Toc90033338"/>
      <w:r w:rsidRPr="004209C8">
        <w:lastRenderedPageBreak/>
        <w:t>Βραχυχρόνιοι δείκτες</w:t>
      </w:r>
      <w:bookmarkEnd w:id="43"/>
      <w:bookmarkEnd w:id="44"/>
    </w:p>
    <w:p w14:paraId="3BED8D07" w14:textId="77777777" w:rsidR="000B0F6D" w:rsidRPr="000B0F6D" w:rsidRDefault="000B0F6D" w:rsidP="000B0F6D">
      <w:pPr>
        <w:spacing w:after="0"/>
      </w:pPr>
    </w:p>
    <w:p w14:paraId="234818F1" w14:textId="77777777" w:rsidR="006F299D" w:rsidRPr="00373C1D" w:rsidRDefault="006F299D" w:rsidP="006F299D">
      <w:pPr>
        <w:jc w:val="both"/>
        <w:rPr>
          <w:rFonts w:ascii="Calibri" w:eastAsia="Calibri" w:hAnsi="Calibri" w:cs="Calibri"/>
          <w:color w:val="595959"/>
          <w:lang w:bidi="he-IL"/>
        </w:rPr>
      </w:pPr>
      <w:r w:rsidRPr="00194532">
        <w:rPr>
          <w:rFonts w:ascii="Calibri" w:eastAsia="Calibri" w:hAnsi="Calibri" w:cs="Calibri"/>
          <w:color w:val="595959" w:themeColor="text1" w:themeTint="A6"/>
        </w:rPr>
        <w:t xml:space="preserve">Αναφορικά με τους </w:t>
      </w:r>
      <w:r w:rsidRPr="00194532">
        <w:rPr>
          <w:rFonts w:ascii="Calibri" w:eastAsia="Calibri" w:hAnsi="Calibri" w:cs="Calibri"/>
          <w:color w:val="595959"/>
        </w:rPr>
        <w:t>βραχυχρόνιους</w:t>
      </w:r>
      <w:r w:rsidRPr="00194532">
        <w:rPr>
          <w:rFonts w:ascii="Calibri" w:eastAsia="Calibri" w:hAnsi="Calibri" w:cs="Calibri"/>
          <w:color w:val="595959" w:themeColor="text1" w:themeTint="A6"/>
        </w:rPr>
        <w:t xml:space="preserve"> δείκτες, ο </w:t>
      </w:r>
      <w:hyperlink r:id="rId25" w:history="1">
        <w:r w:rsidRPr="00194532">
          <w:rPr>
            <w:rStyle w:val="Hyperlink"/>
            <w:rFonts w:ascii="Calibri" w:eastAsia="Calibri" w:hAnsi="Calibri" w:cs="Calibri"/>
            <w:color w:val="595959"/>
          </w:rPr>
          <w:t>Δείκτης Οικονομικού Κλίματος</w:t>
        </w:r>
      </w:hyperlink>
      <w:r w:rsidRPr="00194532">
        <w:rPr>
          <w:rFonts w:ascii="Calibri" w:eastAsia="Calibri" w:hAnsi="Calibri" w:cs="Calibri"/>
          <w:color w:val="595959"/>
        </w:rPr>
        <w:t xml:space="preserve"> (</w:t>
      </w:r>
      <w:r w:rsidRPr="00194532">
        <w:rPr>
          <w:rFonts w:ascii="Calibri" w:eastAsia="Calibri" w:hAnsi="Calibri" w:cs="Calibri"/>
          <w:color w:val="595959"/>
          <w:lang w:val="en-US"/>
        </w:rPr>
        <w:t>Economic</w:t>
      </w:r>
      <w:r w:rsidRPr="00194532">
        <w:rPr>
          <w:rFonts w:ascii="Calibri" w:eastAsia="Calibri" w:hAnsi="Calibri" w:cs="Calibri"/>
          <w:color w:val="595959"/>
        </w:rPr>
        <w:t xml:space="preserve"> </w:t>
      </w:r>
      <w:r w:rsidRPr="00194532">
        <w:rPr>
          <w:rFonts w:ascii="Calibri" w:eastAsia="Calibri" w:hAnsi="Calibri" w:cs="Calibri"/>
          <w:color w:val="595959"/>
          <w:lang w:val="en-US"/>
        </w:rPr>
        <w:t>Sentiment</w:t>
      </w:r>
      <w:r w:rsidRPr="00194532">
        <w:rPr>
          <w:rFonts w:ascii="Calibri" w:eastAsia="Calibri" w:hAnsi="Calibri" w:cs="Calibri"/>
          <w:color w:val="595959"/>
        </w:rPr>
        <w:t xml:space="preserve"> </w:t>
      </w:r>
      <w:r w:rsidRPr="00194532">
        <w:rPr>
          <w:rFonts w:ascii="Calibri" w:eastAsia="Calibri" w:hAnsi="Calibri" w:cs="Calibri"/>
          <w:color w:val="595959"/>
          <w:lang w:val="en-US"/>
        </w:rPr>
        <w:t>Indicator</w:t>
      </w:r>
      <w:r w:rsidRPr="00194532">
        <w:rPr>
          <w:rFonts w:ascii="Calibri" w:eastAsia="Calibri" w:hAnsi="Calibri" w:cs="Calibri"/>
          <w:color w:val="595959"/>
        </w:rPr>
        <w:t xml:space="preserve">, </w:t>
      </w:r>
      <w:r w:rsidRPr="00194532">
        <w:rPr>
          <w:rFonts w:ascii="Calibri" w:eastAsia="Calibri" w:hAnsi="Calibri" w:cs="Calibri"/>
          <w:color w:val="595959"/>
          <w:lang w:val="en-US"/>
        </w:rPr>
        <w:t>ESI</w:t>
      </w:r>
      <w:r w:rsidRPr="00194532">
        <w:rPr>
          <w:rFonts w:ascii="Calibri" w:eastAsia="Calibri" w:hAnsi="Calibri" w:cs="Calibri"/>
          <w:color w:val="595959"/>
        </w:rPr>
        <w:t>) διαμορφώθηκε στις 114,0 μονάδες τον Φεβρουάριο</w:t>
      </w:r>
      <w:r w:rsidRPr="00194532">
        <w:rPr>
          <w:rFonts w:ascii="Calibri" w:eastAsia="Calibri" w:hAnsi="Calibri" w:cs="Calibri"/>
          <w:color w:val="595959" w:themeColor="text1" w:themeTint="A6"/>
        </w:rPr>
        <w:t xml:space="preserve"> του 2022 αυξημένος σημαντικά σε σχέση με τον Φεβρουάριο του 2021 (91,7) και ελαφρά μειωμένος σε σχέση με τον </w:t>
      </w:r>
      <w:r w:rsidRPr="00194532">
        <w:rPr>
          <w:color w:val="595959" w:themeColor="text1" w:themeTint="A6"/>
        </w:rPr>
        <w:t>προηγούμενο μήνα</w:t>
      </w:r>
      <w:r w:rsidRPr="00194532">
        <w:rPr>
          <w:rFonts w:ascii="Calibri" w:eastAsia="Calibri" w:hAnsi="Calibri" w:cs="Calibri"/>
          <w:color w:val="595959" w:themeColor="text1" w:themeTint="A6"/>
        </w:rPr>
        <w:t xml:space="preserve"> (</w:t>
      </w:r>
      <w:r w:rsidRPr="00194532">
        <w:rPr>
          <w:color w:val="595959" w:themeColor="text1" w:themeTint="A6"/>
        </w:rPr>
        <w:t xml:space="preserve">114,2). </w:t>
      </w:r>
      <w:r w:rsidRPr="00194532">
        <w:rPr>
          <w:rFonts w:ascii="Calibri" w:eastAsia="Calibri" w:hAnsi="Calibri" w:cs="Calibri"/>
          <w:color w:val="595959" w:themeColor="text1" w:themeTint="A6"/>
        </w:rPr>
        <w:t xml:space="preserve">Ο </w:t>
      </w:r>
      <w:hyperlink r:id="rId26" w:history="1">
        <w:r w:rsidRPr="00194532">
          <w:rPr>
            <w:rStyle w:val="Hyperlink"/>
            <w:color w:val="595959"/>
          </w:rPr>
          <w:t>Δείκτης Υπευθύνων Προμηθειών στη Μεταποίηση (PMI)</w:t>
        </w:r>
      </w:hyperlink>
      <w:r w:rsidRPr="00194532">
        <w:rPr>
          <w:rFonts w:ascii="Calibri" w:eastAsia="Calibri" w:hAnsi="Calibri" w:cs="Calibri"/>
          <w:color w:val="595959"/>
        </w:rPr>
        <w:t xml:space="preserve"> </w:t>
      </w:r>
      <w:r w:rsidRPr="00194532">
        <w:rPr>
          <w:rFonts w:ascii="Calibri" w:eastAsia="Calibri" w:hAnsi="Calibri" w:cs="Calibri"/>
          <w:color w:val="595959" w:themeColor="text1" w:themeTint="A6"/>
        </w:rPr>
        <w:t>διαμορφώθηκε στις 57,8 μονάδες τον Φεβρουάριο του 2022 ελαφρώς μειωμένος από</w:t>
      </w:r>
      <w:r>
        <w:rPr>
          <w:rFonts w:ascii="Calibri" w:eastAsia="Calibri" w:hAnsi="Calibri" w:cs="Calibri"/>
          <w:color w:val="595959" w:themeColor="text1" w:themeTint="A6"/>
        </w:rPr>
        <w:t xml:space="preserve"> τις 57,9 μονάδες τον Ιανουάριο</w:t>
      </w:r>
      <w:r>
        <w:rPr>
          <w:rFonts w:ascii="Calibri" w:eastAsia="Calibri" w:hAnsi="Calibri" w:cs="Calibri"/>
          <w:color w:val="595959"/>
          <w:lang w:bidi="he-IL"/>
        </w:rPr>
        <w:t>.</w:t>
      </w:r>
    </w:p>
    <w:p w14:paraId="1FF18F66" w14:textId="77777777" w:rsidR="006F299D" w:rsidRDefault="006F299D" w:rsidP="006F299D">
      <w:pPr>
        <w:jc w:val="both"/>
        <w:rPr>
          <w:rFonts w:ascii="Calibri" w:eastAsia="Calibri" w:hAnsi="Calibri" w:cs="Calibri"/>
          <w:color w:val="595959"/>
        </w:rPr>
      </w:pPr>
      <w:r w:rsidRPr="00F41F29">
        <w:rPr>
          <w:rFonts w:ascii="Calibri" w:eastAsia="Calibri" w:hAnsi="Calibri" w:cs="Calibri"/>
          <w:color w:val="595959"/>
        </w:rPr>
        <w:t>Ο </w:t>
      </w:r>
      <w:hyperlink r:id="rId27" w:history="1">
        <w:r w:rsidRPr="00AF759A">
          <w:rPr>
            <w:rStyle w:val="Hyperlink"/>
            <w:rFonts w:ascii="Calibri" w:eastAsia="Calibri" w:hAnsi="Calibri" w:cs="Calibri"/>
            <w:color w:val="595959"/>
          </w:rPr>
          <w:t>Γενικός Δείκτης Βιομηχανικής Παραγωγής </w:t>
        </w:r>
      </w:hyperlink>
      <w:r w:rsidRPr="00AF759A">
        <w:rPr>
          <w:rFonts w:ascii="Calibri" w:eastAsia="Calibri" w:hAnsi="Calibri" w:cs="Calibri"/>
          <w:color w:val="595959"/>
        </w:rPr>
        <w:t>παρουσίασ</w:t>
      </w:r>
      <w:r w:rsidRPr="005E7B1E">
        <w:rPr>
          <w:rFonts w:ascii="Calibri" w:eastAsia="Calibri" w:hAnsi="Calibri" w:cs="Calibri"/>
          <w:color w:val="595959"/>
        </w:rPr>
        <w:t xml:space="preserve">ε </w:t>
      </w:r>
      <w:r w:rsidRPr="00F41F29">
        <w:rPr>
          <w:rFonts w:ascii="Calibri" w:eastAsia="Calibri" w:hAnsi="Calibri" w:cs="Calibri"/>
          <w:color w:val="595959"/>
        </w:rPr>
        <w:t xml:space="preserve">τον </w:t>
      </w:r>
      <w:r>
        <w:rPr>
          <w:rFonts w:ascii="Calibri" w:eastAsia="Calibri" w:hAnsi="Calibri" w:cs="Calibri"/>
          <w:color w:val="595959"/>
        </w:rPr>
        <w:t xml:space="preserve">Ιανουάριο </w:t>
      </w:r>
      <w:r w:rsidRPr="00F41F29">
        <w:rPr>
          <w:rFonts w:ascii="Calibri" w:eastAsia="Calibri" w:hAnsi="Calibri" w:cs="Calibri"/>
          <w:color w:val="595959"/>
        </w:rPr>
        <w:t>του 202</w:t>
      </w:r>
      <w:r>
        <w:rPr>
          <w:rFonts w:ascii="Calibri" w:eastAsia="Calibri" w:hAnsi="Calibri" w:cs="Calibri"/>
          <w:color w:val="595959"/>
        </w:rPr>
        <w:t>2</w:t>
      </w:r>
      <w:r w:rsidRPr="00F41F29">
        <w:rPr>
          <w:rFonts w:ascii="Calibri" w:eastAsia="Calibri" w:hAnsi="Calibri" w:cs="Calibri"/>
          <w:color w:val="595959"/>
        </w:rPr>
        <w:t xml:space="preserve"> </w:t>
      </w:r>
      <w:r>
        <w:rPr>
          <w:rFonts w:ascii="Calibri" w:eastAsia="Calibri" w:hAnsi="Calibri" w:cs="Calibri"/>
          <w:color w:val="595959"/>
        </w:rPr>
        <w:t>μείωση</w:t>
      </w:r>
      <w:r w:rsidRPr="00F41F29">
        <w:rPr>
          <w:rFonts w:ascii="Calibri" w:eastAsia="Calibri" w:hAnsi="Calibri" w:cs="Calibri"/>
          <w:color w:val="595959"/>
        </w:rPr>
        <w:t xml:space="preserve"> κατά </w:t>
      </w:r>
      <w:r>
        <w:rPr>
          <w:rFonts w:ascii="Calibri" w:eastAsia="Calibri" w:hAnsi="Calibri" w:cs="Calibri"/>
          <w:color w:val="595959"/>
        </w:rPr>
        <w:t>0,2</w:t>
      </w:r>
      <w:r w:rsidRPr="00F41F29">
        <w:rPr>
          <w:rFonts w:ascii="Calibri" w:eastAsia="Calibri" w:hAnsi="Calibri" w:cs="Calibri"/>
          <w:color w:val="595959"/>
        </w:rPr>
        <w:t>% σε σχέση με τον αντίστοιχο μήνα του 202</w:t>
      </w:r>
      <w:r>
        <w:rPr>
          <w:rFonts w:ascii="Calibri" w:eastAsia="Calibri" w:hAnsi="Calibri" w:cs="Calibri"/>
          <w:color w:val="595959"/>
        </w:rPr>
        <w:t>1</w:t>
      </w:r>
      <w:r w:rsidRPr="00F41F29">
        <w:rPr>
          <w:rFonts w:ascii="Calibri" w:eastAsia="Calibri" w:hAnsi="Calibri" w:cs="Calibri"/>
          <w:color w:val="595959"/>
        </w:rPr>
        <w:t xml:space="preserve">, κυρίως λόγω της </w:t>
      </w:r>
      <w:r>
        <w:rPr>
          <w:rFonts w:ascii="Calibri" w:eastAsia="Calibri" w:hAnsi="Calibri" w:cs="Calibri"/>
          <w:color w:val="595959"/>
        </w:rPr>
        <w:t>μείωσης</w:t>
      </w:r>
      <w:r w:rsidRPr="00F41F29">
        <w:rPr>
          <w:rFonts w:ascii="Calibri" w:eastAsia="Calibri" w:hAnsi="Calibri" w:cs="Calibri"/>
          <w:color w:val="595959"/>
        </w:rPr>
        <w:t xml:space="preserve"> </w:t>
      </w:r>
      <w:r>
        <w:rPr>
          <w:rFonts w:ascii="Calibri" w:eastAsia="Calibri" w:hAnsi="Calibri" w:cs="Calibri"/>
          <w:color w:val="595959"/>
        </w:rPr>
        <w:t>κ</w:t>
      </w:r>
      <w:r w:rsidRPr="005E7B1E">
        <w:rPr>
          <w:rFonts w:ascii="Calibri" w:eastAsia="Calibri" w:hAnsi="Calibri" w:cs="Calibri"/>
          <w:color w:val="595959"/>
        </w:rPr>
        <w:t xml:space="preserve">ατά </w:t>
      </w:r>
      <w:r>
        <w:rPr>
          <w:rFonts w:ascii="Calibri" w:eastAsia="Calibri" w:hAnsi="Calibri" w:cs="Calibri"/>
          <w:color w:val="595959"/>
        </w:rPr>
        <w:t>21,5</w:t>
      </w:r>
      <w:r w:rsidRPr="005E7B1E">
        <w:rPr>
          <w:rFonts w:ascii="Calibri" w:eastAsia="Calibri" w:hAnsi="Calibri" w:cs="Calibri"/>
          <w:color w:val="595959"/>
        </w:rPr>
        <w:t xml:space="preserve">% του </w:t>
      </w:r>
      <w:r>
        <w:rPr>
          <w:rFonts w:ascii="Calibri" w:eastAsia="Calibri" w:hAnsi="Calibri" w:cs="Calibri"/>
          <w:color w:val="595959"/>
        </w:rPr>
        <w:t>δ</w:t>
      </w:r>
      <w:r w:rsidRPr="005E7B1E">
        <w:rPr>
          <w:rFonts w:ascii="Calibri" w:eastAsia="Calibri" w:hAnsi="Calibri" w:cs="Calibri"/>
          <w:color w:val="595959"/>
        </w:rPr>
        <w:t xml:space="preserve">είκτη </w:t>
      </w:r>
      <w:r>
        <w:rPr>
          <w:rFonts w:ascii="Calibri" w:eastAsia="Calibri" w:hAnsi="Calibri" w:cs="Calibri"/>
          <w:color w:val="595959"/>
        </w:rPr>
        <w:t>ο</w:t>
      </w:r>
      <w:r w:rsidRPr="005E7B1E">
        <w:rPr>
          <w:rFonts w:ascii="Calibri" w:eastAsia="Calibri" w:hAnsi="Calibri" w:cs="Calibri"/>
          <w:color w:val="595959"/>
        </w:rPr>
        <w:t xml:space="preserve">ρυχείων </w:t>
      </w:r>
      <w:r>
        <w:rPr>
          <w:rFonts w:ascii="Calibri" w:eastAsia="Calibri" w:hAnsi="Calibri" w:cs="Calibri"/>
          <w:color w:val="595959"/>
        </w:rPr>
        <w:t>-</w:t>
      </w:r>
      <w:r w:rsidRPr="005E7B1E">
        <w:rPr>
          <w:rFonts w:ascii="Calibri" w:eastAsia="Calibri" w:hAnsi="Calibri" w:cs="Calibri"/>
          <w:color w:val="595959"/>
        </w:rPr>
        <w:t xml:space="preserve"> </w:t>
      </w:r>
      <w:r>
        <w:rPr>
          <w:rFonts w:ascii="Calibri" w:eastAsia="Calibri" w:hAnsi="Calibri" w:cs="Calibri"/>
          <w:color w:val="595959"/>
        </w:rPr>
        <w:t>λ</w:t>
      </w:r>
      <w:r w:rsidRPr="005E7B1E">
        <w:rPr>
          <w:rFonts w:ascii="Calibri" w:eastAsia="Calibri" w:hAnsi="Calibri" w:cs="Calibri"/>
          <w:color w:val="595959"/>
        </w:rPr>
        <w:t>ατομείων</w:t>
      </w:r>
      <w:r>
        <w:rPr>
          <w:rFonts w:ascii="Calibri" w:eastAsia="Calibri" w:hAnsi="Calibri" w:cs="Calibri"/>
          <w:color w:val="595959"/>
        </w:rPr>
        <w:t xml:space="preserve">, </w:t>
      </w:r>
      <w:r w:rsidRPr="00F41F29">
        <w:rPr>
          <w:rFonts w:ascii="Calibri" w:eastAsia="Calibri" w:hAnsi="Calibri" w:cs="Calibri"/>
          <w:color w:val="595959"/>
        </w:rPr>
        <w:t xml:space="preserve">κατά </w:t>
      </w:r>
      <w:r>
        <w:rPr>
          <w:rFonts w:ascii="Calibri" w:eastAsia="Calibri" w:hAnsi="Calibri" w:cs="Calibri"/>
          <w:color w:val="595959"/>
        </w:rPr>
        <w:t>6,7</w:t>
      </w:r>
      <w:r w:rsidRPr="005E7B1E">
        <w:rPr>
          <w:rFonts w:ascii="Calibri" w:eastAsia="Calibri" w:hAnsi="Calibri" w:cs="Calibri"/>
          <w:color w:val="595959"/>
        </w:rPr>
        <w:t xml:space="preserve">% του </w:t>
      </w:r>
      <w:r>
        <w:rPr>
          <w:rFonts w:ascii="Calibri" w:eastAsia="Calibri" w:hAnsi="Calibri" w:cs="Calibri"/>
          <w:color w:val="595959"/>
        </w:rPr>
        <w:t>δ</w:t>
      </w:r>
      <w:r w:rsidRPr="005E7B1E">
        <w:rPr>
          <w:rFonts w:ascii="Calibri" w:eastAsia="Calibri" w:hAnsi="Calibri" w:cs="Calibri"/>
          <w:color w:val="595959"/>
        </w:rPr>
        <w:t xml:space="preserve">είκτη </w:t>
      </w:r>
      <w:r>
        <w:rPr>
          <w:rFonts w:ascii="Calibri" w:eastAsia="Calibri" w:hAnsi="Calibri" w:cs="Calibri"/>
          <w:color w:val="595959"/>
        </w:rPr>
        <w:t>π</w:t>
      </w:r>
      <w:r w:rsidRPr="005E7B1E">
        <w:rPr>
          <w:rFonts w:ascii="Calibri" w:eastAsia="Calibri" w:hAnsi="Calibri" w:cs="Calibri"/>
          <w:color w:val="595959"/>
        </w:rPr>
        <w:t xml:space="preserve">αροχής </w:t>
      </w:r>
      <w:r>
        <w:rPr>
          <w:rFonts w:ascii="Calibri" w:eastAsia="Calibri" w:hAnsi="Calibri" w:cs="Calibri"/>
          <w:color w:val="595959"/>
        </w:rPr>
        <w:t>η</w:t>
      </w:r>
      <w:r w:rsidRPr="005E7B1E">
        <w:rPr>
          <w:rFonts w:ascii="Calibri" w:eastAsia="Calibri" w:hAnsi="Calibri" w:cs="Calibri"/>
          <w:color w:val="595959"/>
        </w:rPr>
        <w:t xml:space="preserve">λεκτρικού </w:t>
      </w:r>
      <w:r>
        <w:rPr>
          <w:rFonts w:ascii="Calibri" w:eastAsia="Calibri" w:hAnsi="Calibri" w:cs="Calibri"/>
          <w:color w:val="595959"/>
        </w:rPr>
        <w:t>ρ</w:t>
      </w:r>
      <w:r w:rsidRPr="005E7B1E">
        <w:rPr>
          <w:rFonts w:ascii="Calibri" w:eastAsia="Calibri" w:hAnsi="Calibri" w:cs="Calibri"/>
          <w:color w:val="595959"/>
        </w:rPr>
        <w:t>εύματος</w:t>
      </w:r>
      <w:r>
        <w:rPr>
          <w:rFonts w:ascii="Calibri" w:eastAsia="Calibri" w:hAnsi="Calibri" w:cs="Calibri"/>
          <w:color w:val="595959"/>
        </w:rPr>
        <w:t>, κ</w:t>
      </w:r>
      <w:r w:rsidRPr="000E148F">
        <w:rPr>
          <w:rFonts w:ascii="Calibri" w:eastAsia="Calibri" w:hAnsi="Calibri" w:cs="Calibri"/>
          <w:color w:val="595959"/>
        </w:rPr>
        <w:t xml:space="preserve">ατά </w:t>
      </w:r>
      <w:r>
        <w:rPr>
          <w:rFonts w:ascii="Calibri" w:eastAsia="Calibri" w:hAnsi="Calibri" w:cs="Calibri"/>
          <w:color w:val="595959"/>
        </w:rPr>
        <w:t>0,02</w:t>
      </w:r>
      <w:r w:rsidRPr="000E148F">
        <w:rPr>
          <w:rFonts w:ascii="Calibri" w:eastAsia="Calibri" w:hAnsi="Calibri" w:cs="Calibri"/>
          <w:color w:val="595959"/>
        </w:rPr>
        <w:t xml:space="preserve">% του </w:t>
      </w:r>
      <w:r>
        <w:rPr>
          <w:rFonts w:ascii="Calibri" w:eastAsia="Calibri" w:hAnsi="Calibri" w:cs="Calibri"/>
          <w:color w:val="595959"/>
        </w:rPr>
        <w:t>δ</w:t>
      </w:r>
      <w:r w:rsidRPr="000E148F">
        <w:rPr>
          <w:rFonts w:ascii="Calibri" w:eastAsia="Calibri" w:hAnsi="Calibri" w:cs="Calibri"/>
          <w:color w:val="595959"/>
        </w:rPr>
        <w:t xml:space="preserve">είκτη </w:t>
      </w:r>
      <w:r>
        <w:rPr>
          <w:rFonts w:ascii="Calibri" w:eastAsia="Calibri" w:hAnsi="Calibri" w:cs="Calibri"/>
          <w:color w:val="595959"/>
        </w:rPr>
        <w:t>π</w:t>
      </w:r>
      <w:r w:rsidRPr="000E148F">
        <w:rPr>
          <w:rFonts w:ascii="Calibri" w:eastAsia="Calibri" w:hAnsi="Calibri" w:cs="Calibri"/>
          <w:color w:val="595959"/>
        </w:rPr>
        <w:t xml:space="preserve">αροχής </w:t>
      </w:r>
      <w:r>
        <w:rPr>
          <w:rFonts w:ascii="Calibri" w:eastAsia="Calibri" w:hAnsi="Calibri" w:cs="Calibri"/>
          <w:color w:val="595959"/>
        </w:rPr>
        <w:t>ν</w:t>
      </w:r>
      <w:r w:rsidRPr="000E148F">
        <w:rPr>
          <w:rFonts w:ascii="Calibri" w:eastAsia="Calibri" w:hAnsi="Calibri" w:cs="Calibri"/>
          <w:color w:val="595959"/>
        </w:rPr>
        <w:t>ερού</w:t>
      </w:r>
      <w:r>
        <w:rPr>
          <w:rFonts w:ascii="Calibri" w:eastAsia="Calibri" w:hAnsi="Calibri" w:cs="Calibri"/>
          <w:color w:val="595959"/>
        </w:rPr>
        <w:t xml:space="preserve"> και λόγω της αύξησης κατά</w:t>
      </w:r>
      <w:r w:rsidRPr="005E7B1E">
        <w:rPr>
          <w:rFonts w:ascii="Calibri" w:eastAsia="Calibri" w:hAnsi="Calibri" w:cs="Calibri"/>
          <w:color w:val="595959"/>
        </w:rPr>
        <w:t xml:space="preserve"> </w:t>
      </w:r>
      <w:r>
        <w:rPr>
          <w:rFonts w:ascii="Calibri" w:eastAsia="Calibri" w:hAnsi="Calibri" w:cs="Calibri"/>
          <w:color w:val="595959"/>
        </w:rPr>
        <w:t>2,6</w:t>
      </w:r>
      <w:r w:rsidRPr="005E7B1E">
        <w:rPr>
          <w:rFonts w:ascii="Calibri" w:eastAsia="Calibri" w:hAnsi="Calibri" w:cs="Calibri"/>
          <w:color w:val="595959"/>
        </w:rPr>
        <w:t xml:space="preserve">% του </w:t>
      </w:r>
      <w:r>
        <w:rPr>
          <w:rFonts w:ascii="Calibri" w:eastAsia="Calibri" w:hAnsi="Calibri" w:cs="Calibri"/>
          <w:color w:val="595959"/>
        </w:rPr>
        <w:t>δ</w:t>
      </w:r>
      <w:r w:rsidRPr="005E7B1E">
        <w:rPr>
          <w:rFonts w:ascii="Calibri" w:eastAsia="Calibri" w:hAnsi="Calibri" w:cs="Calibri"/>
          <w:color w:val="595959"/>
        </w:rPr>
        <w:t xml:space="preserve">είκτη </w:t>
      </w:r>
      <w:r>
        <w:rPr>
          <w:rFonts w:ascii="Calibri" w:eastAsia="Calibri" w:hAnsi="Calibri" w:cs="Calibri"/>
          <w:color w:val="595959"/>
        </w:rPr>
        <w:t>μ</w:t>
      </w:r>
      <w:r w:rsidRPr="005E7B1E">
        <w:rPr>
          <w:rFonts w:ascii="Calibri" w:eastAsia="Calibri" w:hAnsi="Calibri" w:cs="Calibri"/>
          <w:color w:val="595959"/>
        </w:rPr>
        <w:t>εταποίησης</w:t>
      </w:r>
      <w:r>
        <w:rPr>
          <w:rFonts w:ascii="Calibri" w:eastAsia="Calibri" w:hAnsi="Calibri" w:cs="Calibri"/>
          <w:color w:val="595959"/>
        </w:rPr>
        <w:t>.</w:t>
      </w:r>
    </w:p>
    <w:p w14:paraId="1116F83A" w14:textId="77777777" w:rsidR="006F299D" w:rsidRPr="007917E5" w:rsidRDefault="006F299D" w:rsidP="006F299D">
      <w:pPr>
        <w:autoSpaceDE w:val="0"/>
        <w:autoSpaceDN w:val="0"/>
        <w:adjustRightInd w:val="0"/>
        <w:spacing w:after="0" w:line="276" w:lineRule="auto"/>
        <w:jc w:val="both"/>
        <w:rPr>
          <w:rFonts w:ascii="Calibri" w:eastAsia="Calibri" w:hAnsi="Calibri" w:cs="Calibri"/>
          <w:color w:val="595959" w:themeColor="text1" w:themeTint="A6"/>
        </w:rPr>
      </w:pPr>
      <w:r w:rsidRPr="00C95050">
        <w:rPr>
          <w:rFonts w:ascii="Calibri" w:hAnsi="Calibri" w:cs="Calibri"/>
          <w:color w:val="595959" w:themeColor="text1" w:themeTint="A6"/>
          <w:shd w:val="clear" w:color="auto" w:fill="FFFFFF"/>
        </w:rPr>
        <w:t>Ο </w:t>
      </w:r>
      <w:hyperlink r:id="rId28" w:history="1">
        <w:r w:rsidRPr="008F3DF2">
          <w:rPr>
            <w:rStyle w:val="Hyperlink"/>
            <w:rFonts w:ascii="Calibri" w:hAnsi="Calibri" w:cs="Calibri"/>
            <w:color w:val="595959"/>
            <w:shd w:val="clear" w:color="auto" w:fill="FFFFFF"/>
          </w:rPr>
          <w:t>Δείκτης Κύκλου Εργασιών στο Λιανικό Εμπόριο </w:t>
        </w:r>
      </w:hyperlink>
      <w:r w:rsidRPr="008F3DF2">
        <w:rPr>
          <w:rFonts w:ascii="Calibri" w:hAnsi="Calibri" w:cs="Calibri"/>
          <w:color w:val="595959"/>
          <w:shd w:val="clear" w:color="auto" w:fill="FFFFFF"/>
        </w:rPr>
        <w:t xml:space="preserve">τον </w:t>
      </w:r>
      <w:r>
        <w:rPr>
          <w:rFonts w:ascii="Calibri" w:hAnsi="Calibri" w:cs="Calibri"/>
          <w:color w:val="595959"/>
          <w:shd w:val="clear" w:color="auto" w:fill="FFFFFF"/>
        </w:rPr>
        <w:t>Δεκέμβριο</w:t>
      </w:r>
      <w:r w:rsidRPr="00C95050">
        <w:rPr>
          <w:rFonts w:ascii="Calibri" w:hAnsi="Calibri" w:cs="Calibri"/>
          <w:color w:val="595959" w:themeColor="text1" w:themeTint="A6"/>
          <w:shd w:val="clear" w:color="auto" w:fill="FFFFFF"/>
        </w:rPr>
        <w:t xml:space="preserve"> του 2021 παρουσίασε αύξηση σε ετήσια βάση κατά </w:t>
      </w:r>
      <w:r>
        <w:rPr>
          <w:rFonts w:ascii="Calibri" w:hAnsi="Calibri" w:cs="Calibri"/>
          <w:color w:val="595959" w:themeColor="text1" w:themeTint="A6"/>
          <w:shd w:val="clear" w:color="auto" w:fill="FFFFFF"/>
        </w:rPr>
        <w:t>23,8</w:t>
      </w:r>
      <w:r w:rsidRPr="00C95050">
        <w:rPr>
          <w:rFonts w:ascii="Calibri" w:hAnsi="Calibri" w:cs="Calibri"/>
          <w:color w:val="595959" w:themeColor="text1" w:themeTint="A6"/>
          <w:shd w:val="clear" w:color="auto" w:fill="FFFFFF"/>
        </w:rPr>
        <w:t xml:space="preserve">% ενώ σε εποχικά διορθωμένους όρους κατά </w:t>
      </w:r>
      <w:r>
        <w:rPr>
          <w:rFonts w:ascii="Calibri" w:hAnsi="Calibri" w:cs="Calibri"/>
          <w:color w:val="595959" w:themeColor="text1" w:themeTint="A6"/>
          <w:shd w:val="clear" w:color="auto" w:fill="FFFFFF"/>
        </w:rPr>
        <w:t>0,6</w:t>
      </w:r>
      <w:r w:rsidRPr="00C95050">
        <w:rPr>
          <w:rFonts w:ascii="Calibri" w:hAnsi="Calibri" w:cs="Calibri"/>
          <w:color w:val="595959" w:themeColor="text1" w:themeTint="A6"/>
          <w:shd w:val="clear" w:color="auto" w:fill="FFFFFF"/>
        </w:rPr>
        <w:t xml:space="preserve">% σε σχέση με τον προηγούμενο μήνα. Ο Δείκτης Όγκου στο Λιανικό Εμπόριο κατά τον ίδιο μήνα αυξήθηκε κατά </w:t>
      </w:r>
      <w:r>
        <w:rPr>
          <w:rFonts w:ascii="Calibri" w:hAnsi="Calibri" w:cs="Calibri"/>
          <w:color w:val="595959" w:themeColor="text1" w:themeTint="A6"/>
          <w:shd w:val="clear" w:color="auto" w:fill="FFFFFF"/>
        </w:rPr>
        <w:t>19,4</w:t>
      </w:r>
      <w:r w:rsidRPr="00C95050">
        <w:rPr>
          <w:rFonts w:ascii="Calibri" w:hAnsi="Calibri" w:cs="Calibri"/>
          <w:color w:val="595959" w:themeColor="text1" w:themeTint="A6"/>
          <w:shd w:val="clear" w:color="auto" w:fill="FFFFFF"/>
        </w:rPr>
        <w:t xml:space="preserve">% σε ετήσια βάση, ενώ σε εποχικά διορθωμένους όρους κατά </w:t>
      </w:r>
      <w:r>
        <w:rPr>
          <w:rFonts w:ascii="Calibri" w:hAnsi="Calibri" w:cs="Calibri"/>
          <w:color w:val="595959" w:themeColor="text1" w:themeTint="A6"/>
          <w:shd w:val="clear" w:color="auto" w:fill="FFFFFF"/>
        </w:rPr>
        <w:t>0,8</w:t>
      </w:r>
      <w:r w:rsidRPr="00C95050">
        <w:rPr>
          <w:rFonts w:ascii="Calibri" w:hAnsi="Calibri" w:cs="Calibri"/>
          <w:color w:val="595959" w:themeColor="text1" w:themeTint="A6"/>
          <w:shd w:val="clear" w:color="auto" w:fill="FFFFFF"/>
        </w:rPr>
        <w:t>% σε σχέση με τον προηγούμενο μήνα.</w:t>
      </w:r>
      <w:r w:rsidRPr="00665C30">
        <w:rPr>
          <w:rFonts w:ascii="Calibri" w:hAnsi="Calibri" w:cs="Calibri"/>
          <w:color w:val="595959" w:themeColor="text1" w:themeTint="A6"/>
          <w:shd w:val="clear" w:color="auto" w:fill="FFFFFF"/>
        </w:rPr>
        <w:t xml:space="preserve"> </w:t>
      </w:r>
    </w:p>
    <w:p w14:paraId="393D7714" w14:textId="77777777" w:rsidR="00386EC7" w:rsidRPr="004209C8" w:rsidRDefault="00386EC7" w:rsidP="006F299D">
      <w:pPr>
        <w:spacing w:after="0" w:line="276" w:lineRule="auto"/>
        <w:jc w:val="both"/>
        <w:rPr>
          <w:rFonts w:ascii="Calibri" w:eastAsia="Times New Roman" w:hAnsi="Calibri" w:cs="Times New Roman"/>
          <w:b/>
          <w:bCs/>
          <w:color w:val="595959"/>
        </w:rPr>
      </w:pPr>
    </w:p>
    <w:p w14:paraId="060E01FA" w14:textId="77777777" w:rsidR="00646BE3" w:rsidRPr="006656D7" w:rsidRDefault="00646BE3" w:rsidP="00646BE3">
      <w:pPr>
        <w:pStyle w:val="Heading3"/>
        <w:spacing w:before="0"/>
        <w:rPr>
          <w:rFonts w:eastAsia="Times New Roman"/>
        </w:rPr>
      </w:pPr>
      <w:bookmarkStart w:id="46" w:name="_Toc98160520"/>
      <w:r w:rsidRPr="006656D7">
        <w:rPr>
          <w:rFonts w:eastAsia="Times New Roman"/>
        </w:rPr>
        <w:t>Ρευστότητα</w:t>
      </w:r>
      <w:bookmarkEnd w:id="45"/>
      <w:bookmarkEnd w:id="46"/>
    </w:p>
    <w:p w14:paraId="626E80C7" w14:textId="77777777" w:rsidR="00646BE3" w:rsidRPr="00484E40" w:rsidRDefault="00646BE3" w:rsidP="00646BE3">
      <w:pPr>
        <w:spacing w:after="0" w:line="276" w:lineRule="auto"/>
        <w:rPr>
          <w:rFonts w:ascii="Calibri" w:eastAsia="Calibri" w:hAnsi="Calibri" w:cs="Times New Roman"/>
          <w:highlight w:val="yellow"/>
        </w:rPr>
      </w:pPr>
    </w:p>
    <w:p w14:paraId="444F2B88" w14:textId="77777777" w:rsidR="00646BE3" w:rsidRPr="005B67A5" w:rsidRDefault="00646BE3" w:rsidP="00646BE3">
      <w:pPr>
        <w:autoSpaceDE w:val="0"/>
        <w:autoSpaceDN w:val="0"/>
        <w:adjustRightInd w:val="0"/>
        <w:spacing w:line="276" w:lineRule="auto"/>
        <w:jc w:val="both"/>
        <w:rPr>
          <w:rFonts w:ascii="Calibri" w:eastAsia="Calibri" w:hAnsi="Calibri" w:cs="Calibri"/>
          <w:color w:val="595959" w:themeColor="text1" w:themeTint="A6"/>
        </w:rPr>
      </w:pPr>
      <w:r w:rsidRPr="005B67A5">
        <w:rPr>
          <w:rFonts w:ascii="Calibri" w:eastAsia="Calibri" w:hAnsi="Calibri" w:cs="Times New Roman"/>
          <w:color w:val="595959" w:themeColor="text1" w:themeTint="A6"/>
        </w:rPr>
        <w:t xml:space="preserve">Ο συνολικός δανεισμός του ιδιωτικού τομέα (επιχειρήσεις και νοικοκυριά) από τα εγχώρια πιστωτικά ιδρύματα συνεχίζει την καθοδική του πορεία. Σύμφωνα </w:t>
      </w:r>
      <w:hyperlink r:id="rId29" w:history="1">
        <w:r w:rsidRPr="005B67A5">
          <w:rPr>
            <w:rFonts w:ascii="Calibri" w:eastAsia="Calibri" w:hAnsi="Calibri" w:cs="Times New Roman"/>
            <w:color w:val="595959" w:themeColor="text1" w:themeTint="A6"/>
            <w:u w:val="single"/>
          </w:rPr>
          <w:t xml:space="preserve">με </w:t>
        </w:r>
        <w:r w:rsidRPr="005B67A5">
          <w:rPr>
            <w:rFonts w:ascii="Calibri" w:eastAsia="Calibri" w:hAnsi="Calibri" w:cs="Calibri"/>
            <w:color w:val="595959" w:themeColor="text1" w:themeTint="A6"/>
            <w:u w:val="single"/>
          </w:rPr>
          <w:t>τα στοιχεία της Τράπεζας της Ελλάδος</w:t>
        </w:r>
      </w:hyperlink>
      <w:r w:rsidRPr="005B67A5">
        <w:rPr>
          <w:rFonts w:ascii="Calibri" w:eastAsia="Calibri" w:hAnsi="Calibri" w:cs="Calibri"/>
          <w:color w:val="595959" w:themeColor="text1" w:themeTint="A6"/>
        </w:rPr>
        <w:t>, τον</w:t>
      </w:r>
      <w:r w:rsidRPr="005B67A5">
        <w:rPr>
          <w:rFonts w:ascii="Calibri" w:eastAsia="Calibri" w:hAnsi="Calibri" w:cs="Times New Roman"/>
          <w:color w:val="595959" w:themeColor="text1" w:themeTint="A6"/>
        </w:rPr>
        <w:t xml:space="preserve"> </w:t>
      </w:r>
      <w:r>
        <w:rPr>
          <w:rFonts w:ascii="Calibri" w:eastAsia="Calibri" w:hAnsi="Calibri" w:cs="Times New Roman"/>
          <w:color w:val="595959" w:themeColor="text1" w:themeTint="A6"/>
        </w:rPr>
        <w:t>Ιανουάριο</w:t>
      </w:r>
      <w:r w:rsidRPr="005B67A5">
        <w:rPr>
          <w:rFonts w:ascii="Calibri" w:eastAsia="Calibri" w:hAnsi="Calibri" w:cs="Times New Roman"/>
          <w:color w:val="595959" w:themeColor="text1" w:themeTint="A6"/>
        </w:rPr>
        <w:t xml:space="preserve"> του 202</w:t>
      </w:r>
      <w:r>
        <w:rPr>
          <w:rFonts w:ascii="Calibri" w:eastAsia="Calibri" w:hAnsi="Calibri" w:cs="Times New Roman"/>
          <w:color w:val="595959" w:themeColor="text1" w:themeTint="A6"/>
        </w:rPr>
        <w:t>2</w:t>
      </w:r>
      <w:r w:rsidRPr="005B67A5">
        <w:rPr>
          <w:rFonts w:ascii="Calibri" w:eastAsia="Calibri" w:hAnsi="Calibri" w:cs="Times New Roman"/>
          <w:color w:val="595959" w:themeColor="text1" w:themeTint="A6"/>
        </w:rPr>
        <w:t xml:space="preserve"> το υπόλοιπο των δανείων ήταν </w:t>
      </w:r>
      <w:r>
        <w:rPr>
          <w:rFonts w:ascii="Calibri" w:eastAsia="Calibri" w:hAnsi="Calibri" w:cs="Times New Roman"/>
          <w:color w:val="595959" w:themeColor="text1" w:themeTint="A6"/>
        </w:rPr>
        <w:t>108,0</w:t>
      </w:r>
      <w:r w:rsidRPr="005B67A5">
        <w:rPr>
          <w:rFonts w:ascii="Calibri" w:eastAsia="Calibri" w:hAnsi="Calibri" w:cs="Times New Roman"/>
          <w:color w:val="595959" w:themeColor="text1" w:themeTint="A6"/>
        </w:rPr>
        <w:t xml:space="preserve"> δις ευρώ, μειωμένο κατά </w:t>
      </w:r>
      <w:r>
        <w:rPr>
          <w:rFonts w:ascii="Calibri" w:eastAsia="Calibri" w:hAnsi="Calibri" w:cs="Times New Roman"/>
          <w:color w:val="595959" w:themeColor="text1" w:themeTint="A6"/>
        </w:rPr>
        <w:t>33,0</w:t>
      </w:r>
      <w:r w:rsidRPr="005B67A5">
        <w:rPr>
          <w:rFonts w:ascii="Calibri" w:eastAsia="Calibri" w:hAnsi="Calibri" w:cs="Times New Roman"/>
          <w:color w:val="595959" w:themeColor="text1" w:themeTint="A6"/>
        </w:rPr>
        <w:t xml:space="preserve"> δις ευρώ (-</w:t>
      </w:r>
      <w:r>
        <w:rPr>
          <w:rFonts w:ascii="Calibri" w:eastAsia="Calibri" w:hAnsi="Calibri" w:cs="Times New Roman"/>
          <w:color w:val="595959" w:themeColor="text1" w:themeTint="A6"/>
        </w:rPr>
        <w:t>23</w:t>
      </w:r>
      <w:r w:rsidRPr="005B67A5">
        <w:rPr>
          <w:rFonts w:ascii="Calibri" w:eastAsia="Calibri" w:hAnsi="Calibri" w:cs="Times New Roman"/>
          <w:color w:val="595959" w:themeColor="text1" w:themeTint="A6"/>
        </w:rPr>
        <w:t xml:space="preserve">,3%) σε ετήσια βάση και κατά </w:t>
      </w:r>
      <w:r>
        <w:rPr>
          <w:rFonts w:ascii="Calibri" w:eastAsia="Calibri" w:hAnsi="Calibri" w:cs="Times New Roman"/>
          <w:color w:val="595959" w:themeColor="text1" w:themeTint="A6"/>
        </w:rPr>
        <w:t>10,6</w:t>
      </w:r>
      <w:r w:rsidRPr="005B67A5">
        <w:rPr>
          <w:rFonts w:ascii="Calibri" w:eastAsia="Calibri" w:hAnsi="Calibri" w:cs="Times New Roman"/>
          <w:color w:val="595959" w:themeColor="text1" w:themeTint="A6"/>
        </w:rPr>
        <w:t xml:space="preserve"> δις </w:t>
      </w:r>
      <w:r w:rsidRPr="005B67A5">
        <w:rPr>
          <w:rFonts w:ascii="Calibri" w:eastAsia="Calibri" w:hAnsi="Calibri" w:cs="Calibri"/>
          <w:color w:val="595959" w:themeColor="text1" w:themeTint="A6"/>
        </w:rPr>
        <w:t>ευρώ (-</w:t>
      </w:r>
      <w:r>
        <w:rPr>
          <w:rFonts w:ascii="Calibri" w:eastAsia="Calibri" w:hAnsi="Calibri" w:cs="Calibri"/>
          <w:color w:val="595959" w:themeColor="text1" w:themeTint="A6"/>
        </w:rPr>
        <w:t>9,0</w:t>
      </w:r>
      <w:r w:rsidRPr="005B67A5">
        <w:rPr>
          <w:rFonts w:ascii="Calibri" w:eastAsia="Calibri" w:hAnsi="Calibri" w:cs="Calibri"/>
          <w:color w:val="595959" w:themeColor="text1" w:themeTint="A6"/>
        </w:rPr>
        <w:t xml:space="preserve">%) σε σύγκριση με τον </w:t>
      </w:r>
      <w:r>
        <w:rPr>
          <w:rFonts w:ascii="Calibri" w:eastAsia="Calibri" w:hAnsi="Calibri" w:cs="Calibri"/>
          <w:color w:val="595959" w:themeColor="text1" w:themeTint="A6"/>
        </w:rPr>
        <w:t>Οκτώβριο</w:t>
      </w:r>
      <w:r w:rsidRPr="005B67A5">
        <w:rPr>
          <w:rFonts w:ascii="Calibri" w:eastAsia="Calibri" w:hAnsi="Calibri" w:cs="Calibri"/>
          <w:color w:val="595959" w:themeColor="text1" w:themeTint="A6"/>
        </w:rPr>
        <w:t xml:space="preserve"> του 2021. Σημειώνουμε ότι μέρος της μείωσης των δανείων οφείλεται στις τιτλοποιήσεις των μη εξυπηρετούμενων δανείων που αφαιρούνται από τους ισολογισμούς των τραπεζών.</w:t>
      </w:r>
    </w:p>
    <w:p w14:paraId="2C45E70F" w14:textId="77777777" w:rsidR="00646BE3" w:rsidRPr="0085373D" w:rsidRDefault="00646BE3" w:rsidP="00646BE3">
      <w:pPr>
        <w:jc w:val="both"/>
        <w:rPr>
          <w:rFonts w:ascii="Calibri" w:eastAsia="Calibri" w:hAnsi="Calibri" w:cs="Times New Roman"/>
          <w:color w:val="595959" w:themeColor="text1" w:themeTint="A6"/>
        </w:rPr>
      </w:pPr>
      <w:r w:rsidRPr="0085373D">
        <w:rPr>
          <w:rFonts w:ascii="Calibri" w:eastAsia="Calibri" w:hAnsi="Calibri" w:cs="Calibri"/>
          <w:color w:val="595959" w:themeColor="text1" w:themeTint="A6"/>
        </w:rPr>
        <w:t>Οι</w:t>
      </w:r>
      <w:r w:rsidRPr="0085373D">
        <w:rPr>
          <w:rFonts w:ascii="Calibri" w:eastAsia="Calibri" w:hAnsi="Calibri" w:cs="Times New Roman"/>
          <w:color w:val="595959" w:themeColor="text1" w:themeTint="A6"/>
        </w:rPr>
        <w:t xml:space="preserve"> ακαθάριστες ροές νέων δανείων (δηλαδή, το </w:t>
      </w:r>
      <w:hyperlink r:id="rId30" w:history="1">
        <w:r w:rsidRPr="0085373D">
          <w:rPr>
            <w:rFonts w:ascii="Calibri" w:eastAsia="Calibri" w:hAnsi="Calibri" w:cs="Arial"/>
            <w:color w:val="595959" w:themeColor="text1" w:themeTint="A6"/>
            <w:u w:val="single"/>
          </w:rPr>
          <w:t>σύνολο δανείων τακτής λήξης</w:t>
        </w:r>
      </w:hyperlink>
      <w:r w:rsidRPr="0085373D">
        <w:rPr>
          <w:rFonts w:ascii="Calibri" w:eastAsia="Calibri" w:hAnsi="Calibri" w:cs="Times New Roman"/>
          <w:color w:val="595959" w:themeColor="text1" w:themeTint="A6"/>
        </w:rPr>
        <w:t xml:space="preserve"> χωρίς την αφαίρεση των αποπληρωμών εκ μέρους των δανειοληπτών) μειώθηκαν τ</w:t>
      </w:r>
      <w:r>
        <w:rPr>
          <w:rFonts w:ascii="Calibri" w:eastAsia="Calibri" w:hAnsi="Calibri" w:cs="Times New Roman"/>
          <w:color w:val="595959" w:themeColor="text1" w:themeTint="A6"/>
        </w:rPr>
        <w:t>ο</w:t>
      </w:r>
      <w:r w:rsidRPr="0085373D">
        <w:rPr>
          <w:rFonts w:ascii="Calibri" w:eastAsia="Calibri" w:hAnsi="Calibri" w:cs="Times New Roman"/>
          <w:color w:val="595959" w:themeColor="text1" w:themeTint="A6"/>
        </w:rPr>
        <w:t xml:space="preserve"> 2021 (</w:t>
      </w:r>
      <w:r>
        <w:rPr>
          <w:rFonts w:ascii="Calibri" w:eastAsia="Calibri" w:hAnsi="Calibri" w:cs="Times New Roman"/>
          <w:color w:val="595959" w:themeColor="text1" w:themeTint="A6"/>
        </w:rPr>
        <w:t>14.409</w:t>
      </w:r>
      <w:r w:rsidRPr="0085373D">
        <w:rPr>
          <w:rFonts w:ascii="Calibri" w:eastAsia="Calibri" w:hAnsi="Calibri" w:cs="Times New Roman"/>
          <w:color w:val="595959" w:themeColor="text1" w:themeTint="A6"/>
        </w:rPr>
        <w:t xml:space="preserve"> εκατ. ευρώ σε σύγκριση με την αντίστοιχη περίοδο του 2020 που διαμορφώθηκαν στα </w:t>
      </w:r>
      <w:r>
        <w:rPr>
          <w:rFonts w:ascii="Calibri" w:eastAsia="Calibri" w:hAnsi="Calibri" w:cs="Times New Roman"/>
          <w:color w:val="595959" w:themeColor="text1" w:themeTint="A6"/>
        </w:rPr>
        <w:t>18.289</w:t>
      </w:r>
      <w:r w:rsidRPr="0085373D">
        <w:rPr>
          <w:rFonts w:ascii="Calibri" w:eastAsia="Calibri" w:hAnsi="Calibri" w:cs="Times New Roman"/>
          <w:color w:val="595959" w:themeColor="text1" w:themeTint="A6"/>
        </w:rPr>
        <w:t xml:space="preserve"> εκατ. ευρώ). Τα νέα δάνεια προς μη χρηματοπιστωτικές επιχειρήσεις μειώθηκαν (από </w:t>
      </w:r>
      <w:r>
        <w:rPr>
          <w:rFonts w:ascii="Calibri" w:eastAsia="Calibri" w:hAnsi="Calibri" w:cs="Times New Roman"/>
          <w:color w:val="595959" w:themeColor="text1" w:themeTint="A6"/>
        </w:rPr>
        <w:t>16.196</w:t>
      </w:r>
      <w:r w:rsidRPr="0085373D">
        <w:rPr>
          <w:rFonts w:ascii="Calibri" w:eastAsia="Calibri" w:hAnsi="Calibri" w:cs="Times New Roman"/>
          <w:color w:val="595959" w:themeColor="text1" w:themeTint="A6"/>
        </w:rPr>
        <w:t xml:space="preserve"> εκατ. ευρώ σε </w:t>
      </w:r>
      <w:r>
        <w:rPr>
          <w:rFonts w:ascii="Calibri" w:eastAsia="Calibri" w:hAnsi="Calibri" w:cs="Times New Roman"/>
          <w:color w:val="595959" w:themeColor="text1" w:themeTint="A6"/>
        </w:rPr>
        <w:t>11.851</w:t>
      </w:r>
      <w:r w:rsidRPr="0085373D">
        <w:rPr>
          <w:rFonts w:ascii="Calibri" w:eastAsia="Calibri" w:hAnsi="Calibri" w:cs="Times New Roman"/>
          <w:color w:val="595959" w:themeColor="text1" w:themeTint="A6"/>
        </w:rPr>
        <w:t xml:space="preserve"> εκατ. ευρώ), ενώ τα λοιπά νέα δάνεια (στεγαστικά, καταναλωτικά, ελεύθεροι επαγγελματίες) αυξήθηκαν από </w:t>
      </w:r>
      <w:r>
        <w:rPr>
          <w:rFonts w:ascii="Calibri" w:eastAsia="Calibri" w:hAnsi="Calibri" w:cs="Times New Roman"/>
          <w:color w:val="595959" w:themeColor="text1" w:themeTint="A6"/>
        </w:rPr>
        <w:t>2.093</w:t>
      </w:r>
      <w:r w:rsidRPr="0085373D">
        <w:rPr>
          <w:rFonts w:ascii="Calibri" w:eastAsia="Calibri" w:hAnsi="Calibri" w:cs="Times New Roman"/>
          <w:color w:val="595959" w:themeColor="text1" w:themeTint="A6"/>
        </w:rPr>
        <w:t xml:space="preserve"> εκατ. ευρώ σε </w:t>
      </w:r>
      <w:r>
        <w:rPr>
          <w:rFonts w:ascii="Calibri" w:eastAsia="Calibri" w:hAnsi="Calibri" w:cs="Times New Roman"/>
          <w:color w:val="595959" w:themeColor="text1" w:themeTint="A6"/>
        </w:rPr>
        <w:t>2.558</w:t>
      </w:r>
      <w:r w:rsidRPr="0085373D">
        <w:rPr>
          <w:rFonts w:ascii="Calibri" w:eastAsia="Calibri" w:hAnsi="Calibri" w:cs="Times New Roman"/>
          <w:color w:val="595959" w:themeColor="text1" w:themeTint="A6"/>
        </w:rPr>
        <w:t xml:space="preserve"> εκατ. ευρώ.</w:t>
      </w:r>
    </w:p>
    <w:p w14:paraId="10BDFE72" w14:textId="77777777" w:rsidR="00646BE3" w:rsidRDefault="00646BE3" w:rsidP="00646BE3">
      <w:pPr>
        <w:spacing w:after="0"/>
        <w:jc w:val="both"/>
        <w:rPr>
          <w:rFonts w:ascii="Calibri" w:eastAsia="Calibri" w:hAnsi="Calibri" w:cs="Calibri"/>
          <w:color w:val="595959" w:themeColor="text1" w:themeTint="A6"/>
        </w:rPr>
      </w:pPr>
      <w:r w:rsidRPr="00F1071D">
        <w:rPr>
          <w:rFonts w:ascii="Calibri" w:eastAsia="Calibri" w:hAnsi="Calibri" w:cs="Calibri"/>
          <w:color w:val="595959" w:themeColor="text1" w:themeTint="A6"/>
        </w:rPr>
        <w:t xml:space="preserve">Αναφορικά με τις καταθέσεις επιχειρήσεων και νοικοκυριών, </w:t>
      </w:r>
      <w:hyperlink r:id="rId31" w:history="1">
        <w:r w:rsidRPr="00F1071D">
          <w:rPr>
            <w:rFonts w:ascii="Calibri" w:eastAsia="Calibri" w:hAnsi="Calibri" w:cs="Calibri"/>
            <w:color w:val="595959" w:themeColor="text1" w:themeTint="A6"/>
            <w:u w:val="single"/>
          </w:rPr>
          <w:t>τα στοιχεία της Τράπεζας της Ελλάδος</w:t>
        </w:r>
      </w:hyperlink>
      <w:r w:rsidRPr="00F1071D">
        <w:rPr>
          <w:rFonts w:ascii="Calibri" w:eastAsia="Calibri" w:hAnsi="Calibri" w:cs="Calibri"/>
          <w:color w:val="595959" w:themeColor="text1" w:themeTint="A6"/>
        </w:rPr>
        <w:t xml:space="preserve"> καταγράφουν το ποσό των 17</w:t>
      </w:r>
      <w:r w:rsidRPr="00842B21">
        <w:rPr>
          <w:rFonts w:ascii="Calibri" w:eastAsia="Calibri" w:hAnsi="Calibri" w:cs="Calibri"/>
          <w:color w:val="595959" w:themeColor="text1" w:themeTint="A6"/>
        </w:rPr>
        <w:t>7</w:t>
      </w:r>
      <w:r w:rsidRPr="00F1071D">
        <w:rPr>
          <w:rFonts w:ascii="Calibri" w:eastAsia="Calibri" w:hAnsi="Calibri" w:cs="Calibri"/>
          <w:color w:val="595959" w:themeColor="text1" w:themeTint="A6"/>
        </w:rPr>
        <w:t>,</w:t>
      </w:r>
      <w:r w:rsidRPr="00842B21">
        <w:rPr>
          <w:rFonts w:ascii="Calibri" w:eastAsia="Calibri" w:hAnsi="Calibri" w:cs="Calibri"/>
          <w:color w:val="595959" w:themeColor="text1" w:themeTint="A6"/>
        </w:rPr>
        <w:t>8</w:t>
      </w:r>
      <w:r w:rsidRPr="00F1071D">
        <w:rPr>
          <w:rFonts w:ascii="Calibri" w:eastAsia="Calibri" w:hAnsi="Calibri" w:cs="Calibri"/>
          <w:color w:val="595959" w:themeColor="text1" w:themeTint="A6"/>
        </w:rPr>
        <w:t xml:space="preserve"> δις ευρώ τον </w:t>
      </w:r>
      <w:r w:rsidRPr="00842B21">
        <w:rPr>
          <w:rFonts w:ascii="Calibri" w:eastAsia="Calibri" w:hAnsi="Calibri" w:cs="Times New Roman"/>
          <w:color w:val="595959" w:themeColor="text1" w:themeTint="A6"/>
        </w:rPr>
        <w:t xml:space="preserve">Ιανουάριο </w:t>
      </w:r>
      <w:r w:rsidRPr="00F1071D">
        <w:rPr>
          <w:rFonts w:ascii="Calibri" w:eastAsia="Calibri" w:hAnsi="Calibri" w:cs="Calibri"/>
          <w:color w:val="595959" w:themeColor="text1" w:themeTint="A6"/>
        </w:rPr>
        <w:t>του 202</w:t>
      </w:r>
      <w:r w:rsidRPr="00842B21">
        <w:rPr>
          <w:rFonts w:ascii="Calibri" w:eastAsia="Calibri" w:hAnsi="Calibri" w:cs="Calibri"/>
          <w:color w:val="595959" w:themeColor="text1" w:themeTint="A6"/>
        </w:rPr>
        <w:t>2</w:t>
      </w:r>
      <w:r w:rsidRPr="00F1071D">
        <w:rPr>
          <w:rFonts w:ascii="Calibri" w:eastAsia="Calibri" w:hAnsi="Calibri" w:cs="Calibri"/>
          <w:color w:val="595959" w:themeColor="text1" w:themeTint="A6"/>
        </w:rPr>
        <w:t>, αυξημένες κατά 1</w:t>
      </w:r>
      <w:r w:rsidRPr="00842B21">
        <w:rPr>
          <w:rFonts w:ascii="Calibri" w:eastAsia="Calibri" w:hAnsi="Calibri" w:cs="Calibri"/>
          <w:color w:val="595959" w:themeColor="text1" w:themeTint="A6"/>
        </w:rPr>
        <w:t>5</w:t>
      </w:r>
      <w:r w:rsidRPr="00F1071D">
        <w:rPr>
          <w:rFonts w:ascii="Calibri" w:eastAsia="Calibri" w:hAnsi="Calibri" w:cs="Calibri"/>
          <w:color w:val="595959" w:themeColor="text1" w:themeTint="A6"/>
        </w:rPr>
        <w:t>,</w:t>
      </w:r>
      <w:r w:rsidRPr="00842B21">
        <w:rPr>
          <w:rFonts w:ascii="Calibri" w:eastAsia="Calibri" w:hAnsi="Calibri" w:cs="Calibri"/>
          <w:color w:val="595959" w:themeColor="text1" w:themeTint="A6"/>
        </w:rPr>
        <w:t>7</w:t>
      </w:r>
      <w:r w:rsidRPr="00F1071D">
        <w:rPr>
          <w:rFonts w:ascii="Calibri" w:eastAsia="Calibri" w:hAnsi="Calibri" w:cs="Calibri"/>
          <w:color w:val="595959" w:themeColor="text1" w:themeTint="A6"/>
        </w:rPr>
        <w:t xml:space="preserve"> δις ευρώ (</w:t>
      </w:r>
      <w:r w:rsidRPr="00842B21">
        <w:rPr>
          <w:rFonts w:ascii="Calibri" w:eastAsia="Calibri" w:hAnsi="Calibri" w:cs="Calibri"/>
          <w:color w:val="595959" w:themeColor="text1" w:themeTint="A6"/>
        </w:rPr>
        <w:t>9</w:t>
      </w:r>
      <w:r w:rsidRPr="00F1071D">
        <w:rPr>
          <w:rFonts w:ascii="Calibri" w:eastAsia="Calibri" w:hAnsi="Calibri" w:cs="Calibri"/>
          <w:color w:val="595959" w:themeColor="text1" w:themeTint="A6"/>
        </w:rPr>
        <w:t>,</w:t>
      </w:r>
      <w:r w:rsidRPr="00842B21">
        <w:rPr>
          <w:rFonts w:ascii="Calibri" w:eastAsia="Calibri" w:hAnsi="Calibri" w:cs="Calibri"/>
          <w:color w:val="595959" w:themeColor="text1" w:themeTint="A6"/>
        </w:rPr>
        <w:t>7</w:t>
      </w:r>
      <w:r w:rsidRPr="00F1071D">
        <w:rPr>
          <w:rFonts w:ascii="Calibri" w:eastAsia="Calibri" w:hAnsi="Calibri" w:cs="Calibri"/>
          <w:color w:val="595959" w:themeColor="text1" w:themeTint="A6"/>
        </w:rPr>
        <w:t xml:space="preserve">%) σε ετήσια βάση και αυξημένες κατά </w:t>
      </w:r>
      <w:r w:rsidRPr="00842B21">
        <w:rPr>
          <w:rFonts w:ascii="Calibri" w:eastAsia="Calibri" w:hAnsi="Calibri" w:cs="Calibri"/>
          <w:color w:val="595959" w:themeColor="text1" w:themeTint="A6"/>
        </w:rPr>
        <w:t>4</w:t>
      </w:r>
      <w:r w:rsidRPr="00F1071D">
        <w:rPr>
          <w:rFonts w:ascii="Calibri" w:eastAsia="Calibri" w:hAnsi="Calibri" w:cs="Calibri"/>
          <w:color w:val="595959" w:themeColor="text1" w:themeTint="A6"/>
        </w:rPr>
        <w:t>,</w:t>
      </w:r>
      <w:r w:rsidRPr="00842B21">
        <w:rPr>
          <w:rFonts w:ascii="Calibri" w:eastAsia="Calibri" w:hAnsi="Calibri" w:cs="Calibri"/>
          <w:color w:val="595959" w:themeColor="text1" w:themeTint="A6"/>
        </w:rPr>
        <w:t>1</w:t>
      </w:r>
      <w:r w:rsidRPr="00F1071D">
        <w:rPr>
          <w:rFonts w:ascii="Calibri" w:eastAsia="Calibri" w:hAnsi="Calibri" w:cs="Calibri"/>
          <w:color w:val="595959" w:themeColor="text1" w:themeTint="A6"/>
        </w:rPr>
        <w:t xml:space="preserve"> δις ευρώ (</w:t>
      </w:r>
      <w:r>
        <w:rPr>
          <w:rFonts w:ascii="Calibri" w:eastAsia="Calibri" w:hAnsi="Calibri" w:cs="Calibri"/>
          <w:color w:val="595959" w:themeColor="text1" w:themeTint="A6"/>
        </w:rPr>
        <w:t>2,4</w:t>
      </w:r>
      <w:r w:rsidRPr="00F1071D">
        <w:rPr>
          <w:rFonts w:ascii="Calibri" w:eastAsia="Calibri" w:hAnsi="Calibri" w:cs="Calibri"/>
          <w:color w:val="595959" w:themeColor="text1" w:themeTint="A6"/>
        </w:rPr>
        <w:t xml:space="preserve">%) σε σχέση με τον </w:t>
      </w:r>
      <w:r w:rsidRPr="008617DA">
        <w:rPr>
          <w:rFonts w:ascii="Calibri" w:eastAsia="Calibri" w:hAnsi="Calibri" w:cs="Calibri"/>
          <w:color w:val="595959" w:themeColor="text1" w:themeTint="A6"/>
        </w:rPr>
        <w:t xml:space="preserve">Οκτώβριο </w:t>
      </w:r>
      <w:r w:rsidRPr="00F1071D">
        <w:rPr>
          <w:rFonts w:ascii="Calibri" w:eastAsia="Calibri" w:hAnsi="Calibri" w:cs="Calibri"/>
          <w:color w:val="595959" w:themeColor="text1" w:themeTint="A6"/>
        </w:rPr>
        <w:t xml:space="preserve">του 2021. Η αύξηση στις καταθέσεις των μη χρηματοοικονομικών επιχειρήσεων και των νοικοκυριών αποδίδεται στην προληπτική αποταμίευση, </w:t>
      </w:r>
      <w:r w:rsidRPr="00FA1E6C">
        <w:rPr>
          <w:rFonts w:ascii="Calibri" w:eastAsia="Calibri" w:hAnsi="Calibri" w:cs="Calibri"/>
          <w:color w:val="595959" w:themeColor="text1" w:themeTint="A6"/>
        </w:rPr>
        <w:t>στην αναβολή της κατανάλωσης λόγω των περιοριστικών μέτρων,</w:t>
      </w:r>
      <w:r>
        <w:rPr>
          <w:rFonts w:ascii="Calibri" w:eastAsia="Calibri" w:hAnsi="Calibri" w:cs="Calibri"/>
          <w:color w:val="595959" w:themeColor="text1" w:themeTint="A6"/>
        </w:rPr>
        <w:t xml:space="preserve"> </w:t>
      </w:r>
      <w:r w:rsidRPr="00F1071D">
        <w:rPr>
          <w:rFonts w:ascii="Calibri" w:eastAsia="Calibri" w:hAnsi="Calibri" w:cs="Calibri"/>
          <w:color w:val="595959" w:themeColor="text1" w:themeTint="A6"/>
        </w:rPr>
        <w:t>στην αναστολή φορολογικών και άλλων υποχρεώσεων καθώς και στα μέτρα στήριξης.</w:t>
      </w:r>
      <w:r w:rsidRPr="00665C30">
        <w:rPr>
          <w:rFonts w:ascii="Calibri" w:eastAsia="Calibri" w:hAnsi="Calibri" w:cs="Calibri"/>
          <w:color w:val="595959" w:themeColor="text1" w:themeTint="A6"/>
        </w:rPr>
        <w:t xml:space="preserve"> </w:t>
      </w:r>
    </w:p>
    <w:p w14:paraId="63D726A4" w14:textId="77777777" w:rsidR="008A6A8A" w:rsidRDefault="008A6A8A" w:rsidP="00646BE3">
      <w:pPr>
        <w:spacing w:after="0"/>
        <w:jc w:val="both"/>
        <w:rPr>
          <w:rFonts w:ascii="Calibri" w:eastAsia="Calibri" w:hAnsi="Calibri" w:cs="Calibri"/>
          <w:color w:val="595959" w:themeColor="text1" w:themeTint="A6"/>
        </w:rPr>
      </w:pPr>
    </w:p>
    <w:p w14:paraId="4FF24981" w14:textId="77777777" w:rsidR="00646BE3" w:rsidRPr="004209C8" w:rsidRDefault="00646BE3" w:rsidP="00646BE3">
      <w:pPr>
        <w:spacing w:after="0"/>
        <w:jc w:val="both"/>
        <w:rPr>
          <w:rFonts w:ascii="Calibri" w:eastAsia="Calibri" w:hAnsi="Calibri" w:cs="Calibri"/>
          <w:color w:val="595959" w:themeColor="text1" w:themeTint="A6"/>
        </w:rPr>
      </w:pPr>
    </w:p>
    <w:p w14:paraId="1CFAB13B" w14:textId="77777777" w:rsidR="001476F0" w:rsidRPr="0011257C" w:rsidRDefault="001476F0" w:rsidP="001476F0">
      <w:pPr>
        <w:keepNext/>
        <w:keepLines/>
        <w:spacing w:after="0"/>
        <w:outlineLvl w:val="2"/>
        <w:rPr>
          <w:rFonts w:ascii="Calibri Light" w:eastAsia="Times New Roman" w:hAnsi="Calibri Light" w:cs="Times New Roman"/>
          <w:b/>
          <w:bCs/>
          <w:color w:val="4472C4"/>
        </w:rPr>
      </w:pPr>
      <w:bookmarkStart w:id="47" w:name="_Toc98160521"/>
      <w:r w:rsidRPr="0011257C">
        <w:rPr>
          <w:rFonts w:ascii="Calibri Light" w:eastAsia="Times New Roman" w:hAnsi="Calibri Light" w:cs="Times New Roman"/>
          <w:b/>
          <w:bCs/>
          <w:color w:val="4472C4"/>
        </w:rPr>
        <w:t>Πληθωρισμός</w:t>
      </w:r>
      <w:bookmarkEnd w:id="47"/>
    </w:p>
    <w:p w14:paraId="586DF654" w14:textId="77777777" w:rsidR="001476F0" w:rsidRPr="0011257C" w:rsidRDefault="001476F0" w:rsidP="001476F0">
      <w:pPr>
        <w:autoSpaceDE w:val="0"/>
        <w:autoSpaceDN w:val="0"/>
        <w:adjustRightInd w:val="0"/>
        <w:spacing w:after="0" w:line="276" w:lineRule="auto"/>
        <w:jc w:val="both"/>
        <w:rPr>
          <w:rFonts w:ascii="Calibri" w:eastAsia="Calibri" w:hAnsi="Calibri" w:cs="Times New Roman"/>
          <w:color w:val="595959"/>
        </w:rPr>
      </w:pPr>
    </w:p>
    <w:p w14:paraId="0D8FE2D0" w14:textId="77777777" w:rsidR="001476F0" w:rsidRPr="0011257C" w:rsidRDefault="001476F0" w:rsidP="001476F0">
      <w:pPr>
        <w:autoSpaceDE w:val="0"/>
        <w:autoSpaceDN w:val="0"/>
        <w:adjustRightInd w:val="0"/>
        <w:spacing w:after="0" w:line="276" w:lineRule="auto"/>
        <w:jc w:val="both"/>
        <w:rPr>
          <w:rFonts w:ascii="Calibri" w:eastAsia="Calibri" w:hAnsi="Calibri" w:cs="Arial"/>
          <w:i/>
          <w:iCs/>
          <w:color w:val="44546A"/>
          <w:sz w:val="18"/>
          <w:szCs w:val="18"/>
        </w:rPr>
      </w:pPr>
      <w:r w:rsidRPr="0011257C">
        <w:rPr>
          <w:rFonts w:ascii="Calibri" w:eastAsia="Calibri" w:hAnsi="Calibri" w:cs="Times New Roman"/>
          <w:color w:val="595959"/>
        </w:rPr>
        <w:t xml:space="preserve">Ο πληθωρισμός (ετήσια ποσοστιαία μεταβολή του Εναρμονισμένου Δείκτη Τιμών Καταναλωτή) ανήλθε τον Φεβρουάριο του 2022 στο 6,3% σύμφωνα με τα στοιχεία της </w:t>
      </w:r>
      <w:hyperlink r:id="rId32" w:history="1">
        <w:r w:rsidRPr="0011257C">
          <w:rPr>
            <w:rFonts w:ascii="Calibri" w:eastAsia="Calibri" w:hAnsi="Calibri" w:cs="Arial"/>
            <w:color w:val="595959"/>
            <w:u w:val="single"/>
          </w:rPr>
          <w:t>Eurostat</w:t>
        </w:r>
      </w:hyperlink>
      <w:r w:rsidRPr="0011257C">
        <w:rPr>
          <w:rFonts w:ascii="Calibri" w:eastAsia="Calibri" w:hAnsi="Calibri" w:cs="Times New Roman"/>
          <w:color w:val="595959"/>
        </w:rPr>
        <w:t>, αυξημένος σε σχέση με τον Φεβρουάριο του 2021 (-1,9%) και σε σχέση με τον προηγούμενο μήνα (5,5%).</w:t>
      </w:r>
    </w:p>
    <w:p w14:paraId="63FD076C" w14:textId="77777777" w:rsidR="001476F0" w:rsidRPr="0011257C" w:rsidRDefault="001476F0" w:rsidP="001476F0">
      <w:pPr>
        <w:autoSpaceDE w:val="0"/>
        <w:autoSpaceDN w:val="0"/>
        <w:adjustRightInd w:val="0"/>
        <w:spacing w:after="0" w:line="276" w:lineRule="auto"/>
        <w:jc w:val="both"/>
        <w:rPr>
          <w:rFonts w:ascii="Calibri" w:eastAsia="Calibri" w:hAnsi="Calibri" w:cs="Arial"/>
          <w:i/>
          <w:iCs/>
          <w:color w:val="44546A"/>
          <w:sz w:val="18"/>
          <w:szCs w:val="18"/>
        </w:rPr>
      </w:pPr>
    </w:p>
    <w:p w14:paraId="7D12AD78" w14:textId="77777777" w:rsidR="001476F0" w:rsidRPr="0011257C" w:rsidRDefault="001476F0" w:rsidP="001476F0">
      <w:pPr>
        <w:autoSpaceDE w:val="0"/>
        <w:autoSpaceDN w:val="0"/>
        <w:adjustRightInd w:val="0"/>
        <w:spacing w:after="0" w:line="276" w:lineRule="auto"/>
        <w:jc w:val="both"/>
        <w:rPr>
          <w:rFonts w:ascii="Calibri" w:eastAsia="Calibri" w:hAnsi="Calibri" w:cs="Times New Roman"/>
          <w:color w:val="595959"/>
        </w:rPr>
      </w:pPr>
    </w:p>
    <w:p w14:paraId="5095E2BB" w14:textId="77777777" w:rsidR="001476F0" w:rsidRPr="0011257C" w:rsidRDefault="001476F0" w:rsidP="001476F0">
      <w:pPr>
        <w:autoSpaceDE w:val="0"/>
        <w:autoSpaceDN w:val="0"/>
        <w:adjustRightInd w:val="0"/>
        <w:spacing w:after="0" w:line="276" w:lineRule="auto"/>
        <w:jc w:val="both"/>
        <w:rPr>
          <w:rFonts w:ascii="Calibri" w:eastAsia="Calibri" w:hAnsi="Calibri" w:cs="Arial"/>
          <w:i/>
          <w:iCs/>
          <w:color w:val="44546A"/>
          <w:sz w:val="18"/>
          <w:szCs w:val="18"/>
        </w:rPr>
      </w:pPr>
    </w:p>
    <w:p w14:paraId="21280FCE" w14:textId="77777777" w:rsidR="001476F0" w:rsidRPr="0011257C" w:rsidRDefault="001476F0" w:rsidP="001476F0">
      <w:pPr>
        <w:keepNext/>
        <w:spacing w:after="200" w:line="240" w:lineRule="auto"/>
        <w:jc w:val="center"/>
        <w:rPr>
          <w:i/>
          <w:iCs/>
          <w:color w:val="44546A" w:themeColor="text2"/>
          <w:sz w:val="18"/>
          <w:szCs w:val="18"/>
        </w:rPr>
      </w:pPr>
      <w:bookmarkStart w:id="48" w:name="_Toc98189615"/>
      <w:r w:rsidRPr="0011257C">
        <w:rPr>
          <w:i/>
          <w:iCs/>
          <w:color w:val="44546A" w:themeColor="text2"/>
          <w:sz w:val="18"/>
          <w:szCs w:val="18"/>
        </w:rPr>
        <w:t xml:space="preserve">Διάγραμμα </w:t>
      </w:r>
      <w:r w:rsidR="009B7AD0" w:rsidRPr="0011257C">
        <w:rPr>
          <w:i/>
          <w:iCs/>
          <w:color w:val="44546A" w:themeColor="text2"/>
          <w:sz w:val="18"/>
          <w:szCs w:val="18"/>
        </w:rPr>
        <w:fldChar w:fldCharType="begin"/>
      </w:r>
      <w:r w:rsidRPr="0011257C">
        <w:rPr>
          <w:i/>
          <w:iCs/>
          <w:color w:val="44546A" w:themeColor="text2"/>
          <w:sz w:val="18"/>
          <w:szCs w:val="18"/>
        </w:rPr>
        <w:instrText xml:space="preserve"> SEQ Διάγραμμα \* ARABIC </w:instrText>
      </w:r>
      <w:r w:rsidR="009B7AD0" w:rsidRPr="0011257C">
        <w:rPr>
          <w:i/>
          <w:iCs/>
          <w:color w:val="44546A" w:themeColor="text2"/>
          <w:sz w:val="18"/>
          <w:szCs w:val="18"/>
        </w:rPr>
        <w:fldChar w:fldCharType="separate"/>
      </w:r>
      <w:r w:rsidRPr="0011257C">
        <w:rPr>
          <w:i/>
          <w:iCs/>
          <w:noProof/>
          <w:color w:val="44546A" w:themeColor="text2"/>
          <w:sz w:val="18"/>
          <w:szCs w:val="18"/>
        </w:rPr>
        <w:t>2</w:t>
      </w:r>
      <w:r w:rsidR="009B7AD0" w:rsidRPr="0011257C">
        <w:rPr>
          <w:i/>
          <w:iCs/>
          <w:noProof/>
          <w:color w:val="44546A" w:themeColor="text2"/>
          <w:sz w:val="18"/>
          <w:szCs w:val="18"/>
        </w:rPr>
        <w:fldChar w:fldCharType="end"/>
      </w:r>
      <w:r w:rsidRPr="0011257C">
        <w:rPr>
          <w:i/>
          <w:iCs/>
          <w:color w:val="44546A" w:themeColor="text2"/>
          <w:sz w:val="18"/>
          <w:szCs w:val="18"/>
        </w:rPr>
        <w:t xml:space="preserve"> Πληθωρισμός εναρμονισμένου δείκτη και "πυρήνας" πληθωρισμού</w:t>
      </w:r>
      <w:bookmarkEnd w:id="48"/>
    </w:p>
    <w:p w14:paraId="18F30C95" w14:textId="77777777" w:rsidR="001476F0" w:rsidRPr="0011257C" w:rsidRDefault="001476F0" w:rsidP="001476F0">
      <w:pPr>
        <w:autoSpaceDE w:val="0"/>
        <w:autoSpaceDN w:val="0"/>
        <w:adjustRightInd w:val="0"/>
        <w:spacing w:before="240" w:after="0" w:line="276" w:lineRule="auto"/>
        <w:jc w:val="center"/>
        <w:rPr>
          <w:rFonts w:ascii="Calibri" w:eastAsia="Calibri" w:hAnsi="Calibri" w:cs="Times New Roman"/>
          <w:color w:val="595959"/>
        </w:rPr>
      </w:pPr>
      <w:r w:rsidRPr="0011257C">
        <w:rPr>
          <w:rFonts w:ascii="Calibri" w:eastAsia="Calibri" w:hAnsi="Calibri" w:cs="Times New Roman"/>
          <w:noProof/>
          <w:color w:val="595959"/>
          <w:lang w:val="en-US"/>
        </w:rPr>
        <w:drawing>
          <wp:inline distT="0" distB="0" distL="0" distR="0" wp14:anchorId="2E7C9E54" wp14:editId="7DD2D959">
            <wp:extent cx="5198400" cy="24732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198400" cy="2473200"/>
                    </a:xfrm>
                    <a:prstGeom prst="rect">
                      <a:avLst/>
                    </a:prstGeom>
                  </pic:spPr>
                </pic:pic>
              </a:graphicData>
            </a:graphic>
          </wp:inline>
        </w:drawing>
      </w:r>
    </w:p>
    <w:p w14:paraId="3F367331" w14:textId="77777777" w:rsidR="001476F0" w:rsidRPr="0011257C" w:rsidRDefault="001476F0" w:rsidP="001476F0">
      <w:pPr>
        <w:autoSpaceDE w:val="0"/>
        <w:autoSpaceDN w:val="0"/>
        <w:adjustRightInd w:val="0"/>
        <w:spacing w:after="0" w:line="276" w:lineRule="auto"/>
        <w:jc w:val="center"/>
        <w:rPr>
          <w:rFonts w:ascii="Calibri" w:eastAsia="Calibri" w:hAnsi="Calibri" w:cs="Times New Roman"/>
          <w:color w:val="595959"/>
        </w:rPr>
      </w:pPr>
    </w:p>
    <w:p w14:paraId="26EDE815" w14:textId="77777777" w:rsidR="001476F0" w:rsidRPr="0011257C" w:rsidRDefault="001476F0" w:rsidP="001476F0">
      <w:pPr>
        <w:autoSpaceDE w:val="0"/>
        <w:autoSpaceDN w:val="0"/>
        <w:adjustRightInd w:val="0"/>
        <w:spacing w:line="276" w:lineRule="auto"/>
        <w:jc w:val="both"/>
        <w:rPr>
          <w:rFonts w:ascii="Calibri" w:eastAsia="Calibri" w:hAnsi="Calibri" w:cs="Times New Roman"/>
          <w:color w:val="595959"/>
        </w:rPr>
      </w:pPr>
      <w:r w:rsidRPr="0011257C">
        <w:rPr>
          <w:rFonts w:ascii="Calibri" w:eastAsia="Calibri" w:hAnsi="Calibri" w:cs="Times New Roman"/>
          <w:color w:val="595959"/>
        </w:rPr>
        <w:t>Ο «</w:t>
      </w:r>
      <w:hyperlink r:id="rId34" w:history="1">
        <w:r w:rsidRPr="0011257C">
          <w:rPr>
            <w:rFonts w:ascii="Calibri" w:eastAsia="Calibri" w:hAnsi="Calibri" w:cs="Times New Roman"/>
            <w:color w:val="595959"/>
            <w:u w:val="single"/>
          </w:rPr>
          <w:t>πυρήνας</w:t>
        </w:r>
      </w:hyperlink>
      <w:r w:rsidRPr="0011257C">
        <w:rPr>
          <w:rFonts w:ascii="Calibri" w:eastAsia="Calibri" w:hAnsi="Calibri" w:cs="Times New Roman"/>
          <w:color w:val="595959"/>
        </w:rPr>
        <w:t xml:space="preserve">» του πληθωρισμού (δεν περιλαμβάνει την ενέργεια και τα μη επεξεργασμένα τρόφιμα), διαμορφώθηκε στο 1,9% τον Ιανουάριο του 2022 αυξημένος σε σχέση με τον Ιανουάριο του προηγούμενου έτους (-1,8%) και σε σχέση με τον προηγούμενο μήνα (1,5%). </w:t>
      </w:r>
      <w:bookmarkStart w:id="49" w:name="_Hlk96597854"/>
      <w:r w:rsidRPr="0011257C">
        <w:rPr>
          <w:rFonts w:ascii="Calibri" w:eastAsia="Calibri" w:hAnsi="Calibri" w:cs="Times New Roman"/>
          <w:color w:val="595959"/>
        </w:rPr>
        <w:t xml:space="preserve">Στην </w:t>
      </w:r>
      <w:hyperlink r:id="rId35" w:history="1">
        <w:r w:rsidRPr="0011257C">
          <w:rPr>
            <w:rFonts w:ascii="Calibri" w:eastAsia="Calibri" w:hAnsi="Calibri" w:cs="Times New Roman"/>
            <w:color w:val="595959"/>
            <w:u w:val="single"/>
          </w:rPr>
          <w:t>Ευρωζώνη</w:t>
        </w:r>
      </w:hyperlink>
      <w:r w:rsidRPr="0011257C">
        <w:rPr>
          <w:rFonts w:ascii="Calibri" w:eastAsia="Calibri" w:hAnsi="Calibri" w:cs="Times New Roman"/>
          <w:color w:val="595959"/>
        </w:rPr>
        <w:t>, τον Φεβρουάριο ο εναρμονισμένος δείκτης αυξήθηκε σε ετήσια βάση κατά 5,8%, ενώ ο «πυρήνας» του πληθωρισμού διαμορφώθηκε σε 2,9%.</w:t>
      </w:r>
    </w:p>
    <w:bookmarkEnd w:id="49"/>
    <w:p w14:paraId="0FED39D6" w14:textId="77777777" w:rsidR="00536DBF" w:rsidRPr="0011257C" w:rsidRDefault="00536DBF" w:rsidP="00720A93">
      <w:pPr>
        <w:tabs>
          <w:tab w:val="left" w:pos="709"/>
        </w:tabs>
        <w:spacing w:after="0"/>
        <w:jc w:val="both"/>
        <w:rPr>
          <w:rFonts w:ascii="Calibri" w:eastAsia="Calibri" w:hAnsi="Calibri" w:cs="Times New Roman"/>
          <w:color w:val="595959"/>
        </w:rPr>
      </w:pPr>
      <w:r w:rsidRPr="00E25F60">
        <w:rPr>
          <w:rFonts w:ascii="Calibri" w:eastAsia="Calibri" w:hAnsi="Calibri" w:cs="Times New Roman"/>
          <w:color w:val="595959"/>
        </w:rPr>
        <w:t xml:space="preserve">Σημαντική αύξηση </w:t>
      </w:r>
      <w:r w:rsidRPr="00D75F47">
        <w:rPr>
          <w:rFonts w:ascii="Calibri" w:eastAsia="Calibri" w:hAnsi="Calibri" w:cs="Times New Roman"/>
          <w:color w:val="595959"/>
        </w:rPr>
        <w:t>κατέγραψαν</w:t>
      </w:r>
      <w:r w:rsidRPr="00E25F60">
        <w:rPr>
          <w:rFonts w:ascii="Calibri" w:eastAsia="Calibri" w:hAnsi="Calibri" w:cs="Times New Roman"/>
          <w:color w:val="595959"/>
        </w:rPr>
        <w:t xml:space="preserve"> τον Ιανουάριο ο </w:t>
      </w:r>
      <w:hyperlink r:id="rId36" w:history="1">
        <w:r w:rsidRPr="00E25F60">
          <w:rPr>
            <w:rFonts w:ascii="Calibri" w:eastAsia="Calibri" w:hAnsi="Calibri" w:cs="Times New Roman"/>
            <w:color w:val="595959"/>
            <w:u w:val="single"/>
          </w:rPr>
          <w:t>δείκτης τιμών παραγωγού στη βιομηχανία</w:t>
        </w:r>
      </w:hyperlink>
      <w:r w:rsidRPr="00E25F60">
        <w:rPr>
          <w:rFonts w:ascii="Calibri" w:eastAsia="Calibri" w:hAnsi="Calibri" w:cs="Times New Roman"/>
          <w:color w:val="595959"/>
        </w:rPr>
        <w:t xml:space="preserve"> και </w:t>
      </w:r>
      <w:r w:rsidRPr="00D75F47">
        <w:rPr>
          <w:rFonts w:ascii="Calibri" w:eastAsia="Calibri" w:hAnsi="Calibri" w:cs="Times New Roman"/>
          <w:color w:val="595959"/>
        </w:rPr>
        <w:t xml:space="preserve">ο </w:t>
      </w:r>
      <w:hyperlink r:id="rId37" w:history="1">
        <w:r w:rsidRPr="00D75F47">
          <w:rPr>
            <w:rStyle w:val="Hyperlink"/>
            <w:rFonts w:ascii="Calibri" w:eastAsia="Calibri" w:hAnsi="Calibri" w:cs="Times New Roman"/>
            <w:color w:val="595959"/>
          </w:rPr>
          <w:t>δείκτης τιμών εισαγωγών στη βιομηχανία</w:t>
        </w:r>
      </w:hyperlink>
      <w:r w:rsidRPr="00E25F60">
        <w:rPr>
          <w:rFonts w:ascii="Calibri" w:eastAsia="Calibri" w:hAnsi="Calibri" w:cs="Times New Roman"/>
          <w:color w:val="595959"/>
        </w:rPr>
        <w:t>. Συγκεκριμένα, o δείκτης τιμών παραγωγού στη βιομηχανία αυξήθηκε σε ετήσια βάση κατά 31,6% έναντι μείωσης 5,4% την αντίστοιχη περίοδο πέρυσι, ενώ σε σχέση με τον Δεκέμβριο αυξήθηκε κατά 4,0%.</w:t>
      </w:r>
      <w:bookmarkStart w:id="50" w:name="_Hlk90556133"/>
      <w:r w:rsidRPr="00E25F60">
        <w:rPr>
          <w:rFonts w:ascii="Calibri" w:eastAsia="Calibri" w:hAnsi="Calibri" w:cs="Times New Roman"/>
          <w:color w:val="595959"/>
        </w:rPr>
        <w:t xml:space="preserve"> </w:t>
      </w:r>
      <w:bookmarkEnd w:id="50"/>
      <w:r w:rsidRPr="00E25F60">
        <w:rPr>
          <w:rFonts w:ascii="Calibri" w:eastAsia="Calibri" w:hAnsi="Calibri" w:cs="Times New Roman"/>
          <w:color w:val="595959"/>
        </w:rPr>
        <w:t xml:space="preserve">Ο δείκτης τιμών εισαγωγών στη βιομηχανία για τον </w:t>
      </w:r>
      <w:r>
        <w:rPr>
          <w:rFonts w:ascii="Calibri" w:eastAsia="Calibri" w:hAnsi="Calibri" w:cs="Times New Roman"/>
          <w:color w:val="595959"/>
        </w:rPr>
        <w:t>Ιανουάριο</w:t>
      </w:r>
      <w:r w:rsidRPr="00E25F60">
        <w:rPr>
          <w:rFonts w:ascii="Calibri" w:eastAsia="Calibri" w:hAnsi="Calibri" w:cs="Times New Roman"/>
          <w:color w:val="595959"/>
        </w:rPr>
        <w:t xml:space="preserve"> παρουσίασε ετήσια αύξηση </w:t>
      </w:r>
      <w:r>
        <w:rPr>
          <w:rFonts w:ascii="Calibri" w:eastAsia="Calibri" w:hAnsi="Calibri" w:cs="Times New Roman"/>
          <w:color w:val="595959"/>
        </w:rPr>
        <w:t>31,8</w:t>
      </w:r>
      <w:r w:rsidRPr="00E25F60">
        <w:rPr>
          <w:rFonts w:ascii="Calibri" w:eastAsia="Calibri" w:hAnsi="Calibri" w:cs="Times New Roman"/>
          <w:color w:val="595959"/>
        </w:rPr>
        <w:t xml:space="preserve">% έναντι μείωσης </w:t>
      </w:r>
      <w:r>
        <w:rPr>
          <w:rFonts w:ascii="Calibri" w:eastAsia="Calibri" w:hAnsi="Calibri" w:cs="Times New Roman"/>
          <w:color w:val="595959"/>
        </w:rPr>
        <w:t>4,8</w:t>
      </w:r>
      <w:r w:rsidRPr="00E25F60">
        <w:rPr>
          <w:rFonts w:ascii="Calibri" w:eastAsia="Calibri" w:hAnsi="Calibri" w:cs="Times New Roman"/>
          <w:color w:val="595959"/>
        </w:rPr>
        <w:t xml:space="preserve">% την αντίστοιχη περίοδο πέρυσι, ενώ σε σχέση με τον </w:t>
      </w:r>
      <w:r>
        <w:rPr>
          <w:rFonts w:ascii="Calibri" w:eastAsia="Calibri" w:hAnsi="Calibri" w:cs="Times New Roman"/>
          <w:color w:val="595959"/>
        </w:rPr>
        <w:t>Δεκέμβριο</w:t>
      </w:r>
      <w:r w:rsidRPr="00E25F60">
        <w:rPr>
          <w:rFonts w:ascii="Calibri" w:eastAsia="Calibri" w:hAnsi="Calibri" w:cs="Times New Roman"/>
          <w:color w:val="595959"/>
        </w:rPr>
        <w:t xml:space="preserve"> αυξήθηκε κατά </w:t>
      </w:r>
      <w:r>
        <w:rPr>
          <w:rFonts w:ascii="Calibri" w:eastAsia="Calibri" w:hAnsi="Calibri" w:cs="Times New Roman"/>
          <w:color w:val="595959"/>
        </w:rPr>
        <w:t>9,7</w:t>
      </w:r>
      <w:r w:rsidRPr="00E25F60">
        <w:rPr>
          <w:rFonts w:ascii="Calibri" w:eastAsia="Calibri" w:hAnsi="Calibri" w:cs="Times New Roman"/>
          <w:color w:val="595959"/>
        </w:rPr>
        <w:t>%.</w:t>
      </w:r>
    </w:p>
    <w:p w14:paraId="1AD06FCE" w14:textId="77777777" w:rsidR="00646BE3" w:rsidRPr="004209C8" w:rsidRDefault="00646BE3" w:rsidP="00646BE3">
      <w:pPr>
        <w:spacing w:after="0"/>
        <w:jc w:val="both"/>
        <w:rPr>
          <w:rFonts w:ascii="Calibri" w:eastAsia="Calibri" w:hAnsi="Calibri" w:cs="Times New Roman"/>
          <w:color w:val="595959"/>
        </w:rPr>
      </w:pPr>
      <w:r w:rsidRPr="00F146BF">
        <w:rPr>
          <w:rFonts w:ascii="Calibri" w:eastAsia="Calibri" w:hAnsi="Calibri" w:cs="Times New Roman"/>
          <w:color w:val="595959"/>
        </w:rPr>
        <w:t xml:space="preserve"> </w:t>
      </w:r>
    </w:p>
    <w:p w14:paraId="495DF9FE" w14:textId="77777777" w:rsidR="00646BE3" w:rsidRPr="004209C8" w:rsidRDefault="00646BE3" w:rsidP="00646BE3">
      <w:pPr>
        <w:pStyle w:val="Heading3"/>
        <w:spacing w:before="0"/>
        <w:rPr>
          <w:rFonts w:eastAsia="Times New Roman"/>
        </w:rPr>
      </w:pPr>
      <w:bookmarkStart w:id="51" w:name="_Toc90033340"/>
      <w:bookmarkStart w:id="52" w:name="_Toc98160522"/>
      <w:r w:rsidRPr="004209C8">
        <w:rPr>
          <w:rFonts w:eastAsia="Times New Roman"/>
        </w:rPr>
        <w:t>Εξωτερικός τομέας</w:t>
      </w:r>
      <w:bookmarkEnd w:id="51"/>
      <w:bookmarkEnd w:id="52"/>
    </w:p>
    <w:p w14:paraId="354C5C0B" w14:textId="77777777" w:rsidR="00646BE3" w:rsidRPr="00521324" w:rsidRDefault="00646BE3" w:rsidP="00646BE3">
      <w:pPr>
        <w:autoSpaceDE w:val="0"/>
        <w:autoSpaceDN w:val="0"/>
        <w:adjustRightInd w:val="0"/>
        <w:spacing w:after="0" w:line="276" w:lineRule="auto"/>
        <w:jc w:val="both"/>
        <w:rPr>
          <w:rFonts w:ascii="Calibri" w:eastAsia="Calibri" w:hAnsi="Calibri" w:cs="Times New Roman"/>
          <w:color w:val="595959"/>
        </w:rPr>
      </w:pPr>
    </w:p>
    <w:p w14:paraId="4D73D282" w14:textId="77777777" w:rsidR="00646BE3" w:rsidRPr="00A40AB4" w:rsidRDefault="0059099F" w:rsidP="00646BE3">
      <w:pPr>
        <w:autoSpaceDE w:val="0"/>
        <w:autoSpaceDN w:val="0"/>
        <w:adjustRightInd w:val="0"/>
        <w:spacing w:after="0" w:line="276" w:lineRule="auto"/>
        <w:jc w:val="both"/>
        <w:rPr>
          <w:rFonts w:eastAsia="Calibri" w:cstheme="minorHAnsi"/>
          <w:color w:val="595959" w:themeColor="text1" w:themeTint="A6"/>
        </w:rPr>
      </w:pPr>
      <w:hyperlink r:id="rId38" w:history="1">
        <w:r w:rsidR="00646BE3" w:rsidRPr="00A40AB4">
          <w:rPr>
            <w:rStyle w:val="Hyperlink"/>
            <w:rFonts w:ascii="Calibri" w:eastAsia="Calibri" w:hAnsi="Calibri" w:cs="Times New Roman"/>
            <w:color w:val="595959" w:themeColor="text1" w:themeTint="A6"/>
          </w:rPr>
          <w:t>Σύμφωνα με τα τελευταία διαθέσιμα στοιχεία της Τράπεζας της Ελλάδος</w:t>
        </w:r>
      </w:hyperlink>
      <w:r w:rsidR="00646BE3" w:rsidRPr="00A40AB4">
        <w:rPr>
          <w:rFonts w:ascii="Calibri" w:eastAsia="Calibri" w:hAnsi="Calibri" w:cs="Times New Roman"/>
          <w:color w:val="595959" w:themeColor="text1" w:themeTint="A6"/>
        </w:rPr>
        <w:t xml:space="preserve">, για το 2021, το έλλειμμα του Ισοζυγίου Τρεχουσών Συναλλαγών συρρικνώθηκε κατά 357 εκατ. ευρώ σε σχέση με το 2020. Συγκεκριμένα, το έλλειμμα 10.964 εκατ. ευρώ του 2020 μειώθηκε σε έλλειμμα 10.608 εκατ. ευρώ. Η μείωση του ελλείμματος οφείλεται κυρίως στην αύξηση των </w:t>
      </w:r>
      <w:r w:rsidR="00646BE3" w:rsidRPr="00A40AB4">
        <w:rPr>
          <w:rFonts w:ascii="Calibri" w:eastAsia="Calibri" w:hAnsi="Calibri" w:cs="Times New Roman"/>
          <w:color w:val="595959" w:themeColor="text1" w:themeTint="A6"/>
        </w:rPr>
        <w:lastRenderedPageBreak/>
        <w:t>εξαγωγών αγαθών και υπηρεσιών κατά 43</w:t>
      </w:r>
      <w:r w:rsidR="00F93389" w:rsidRPr="00A40AB4">
        <w:rPr>
          <w:rFonts w:ascii="Calibri" w:eastAsia="Calibri" w:hAnsi="Calibri" w:cs="Times New Roman"/>
          <w:color w:val="595959" w:themeColor="text1" w:themeTint="A6"/>
        </w:rPr>
        <w:t>,</w:t>
      </w:r>
      <w:r w:rsidR="00646BE3" w:rsidRPr="00A40AB4">
        <w:rPr>
          <w:rFonts w:ascii="Calibri" w:eastAsia="Calibri" w:hAnsi="Calibri" w:cs="Times New Roman"/>
          <w:color w:val="595959" w:themeColor="text1" w:themeTint="A6"/>
        </w:rPr>
        <w:t>8</w:t>
      </w:r>
      <w:r w:rsidR="00A40AB4" w:rsidRPr="00A40AB4">
        <w:rPr>
          <w:rFonts w:ascii="Calibri" w:eastAsia="Calibri" w:hAnsi="Calibri" w:cs="Times New Roman"/>
          <w:color w:val="595959" w:themeColor="text1" w:themeTint="A6"/>
        </w:rPr>
        <w:t>% (έναντι μείωσης 28,</w:t>
      </w:r>
      <w:r w:rsidR="00646BE3" w:rsidRPr="00A40AB4">
        <w:rPr>
          <w:rFonts w:ascii="Calibri" w:eastAsia="Calibri" w:hAnsi="Calibri" w:cs="Times New Roman"/>
          <w:color w:val="595959" w:themeColor="text1" w:themeTint="A6"/>
        </w:rPr>
        <w:t>9% το 2020). Οι εισαγωγές αγαθών και υπηρεσιών αυξήθηκαν κατά 37</w:t>
      </w:r>
      <w:r w:rsidR="00F93389" w:rsidRPr="00A40AB4">
        <w:rPr>
          <w:rFonts w:ascii="Calibri" w:eastAsia="Calibri" w:hAnsi="Calibri" w:cs="Times New Roman"/>
          <w:color w:val="595959" w:themeColor="text1" w:themeTint="A6"/>
        </w:rPr>
        <w:t>,</w:t>
      </w:r>
      <w:r w:rsidR="00646BE3" w:rsidRPr="00A40AB4">
        <w:rPr>
          <w:rFonts w:ascii="Calibri" w:eastAsia="Calibri" w:hAnsi="Calibri" w:cs="Times New Roman"/>
          <w:color w:val="595959" w:themeColor="text1" w:themeTint="A6"/>
        </w:rPr>
        <w:t xml:space="preserve">9% (έναντι μείωσης 15,4% το 2020), οι εισπράξεις πρωτογενών και δευτερογενών εισοδημάτων αυξήθηκαν κατά 15,7% (έναντι αύξησης 3,6% το 2020) και οι πληρωμές πρωτογενών και δευτερογενών </w:t>
      </w:r>
      <w:r w:rsidR="00646BE3" w:rsidRPr="00A40AB4">
        <w:rPr>
          <w:rFonts w:eastAsia="Calibri" w:cstheme="minorHAnsi"/>
          <w:color w:val="595959" w:themeColor="text1" w:themeTint="A6"/>
        </w:rPr>
        <w:t>εισοδημάτων αυξήθηκαν κατά 0,3% (έναντι μείωσης 8,5% το 2020). Όσον αφορά τις ταξιδιωτικές εισπράξεις αυξήθηκαν κατά 6.334 εκατ. ευρώ το 2021 σε σχέση με το 2020 (αύξηση 146,7%).</w:t>
      </w:r>
      <w:r w:rsidR="0052502F" w:rsidRPr="00A40AB4">
        <w:rPr>
          <w:rFonts w:eastAsia="Calibri" w:cstheme="minorHAnsi"/>
          <w:color w:val="595959" w:themeColor="text1" w:themeTint="A6"/>
        </w:rPr>
        <w:t xml:space="preserve"> </w:t>
      </w:r>
      <w:r w:rsidR="0052502F" w:rsidRPr="00A40AB4">
        <w:rPr>
          <w:rFonts w:cstheme="minorHAnsi"/>
          <w:color w:val="595959" w:themeColor="text1" w:themeTint="A6"/>
          <w:shd w:val="clear" w:color="auto" w:fill="FFFFFF"/>
        </w:rPr>
        <w:t>Η αύξηση των ταξιδιωτικών εισπράξεων οφείλεται στην άνοδο της εισερχόμενης ταξιδιωτικής κίνησης κατά 99,4%, καθώς και της μέσης δαπάνης ανά ταξίδι κατά 22,1%. </w:t>
      </w:r>
    </w:p>
    <w:p w14:paraId="6F5FAE20" w14:textId="77777777" w:rsidR="00646BE3" w:rsidRPr="00665C30" w:rsidRDefault="00646BE3"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44A7E6DA" w14:textId="77777777" w:rsidR="007A5AF3" w:rsidRDefault="007A5AF3" w:rsidP="005945F6">
      <w:pPr>
        <w:pStyle w:val="Caption"/>
        <w:keepNext/>
        <w:jc w:val="center"/>
      </w:pPr>
      <w:bookmarkStart w:id="53" w:name="_Toc98189616"/>
      <w:r>
        <w:t xml:space="preserve">Διάγραμμα </w:t>
      </w:r>
      <w:r w:rsidR="0059099F">
        <w:fldChar w:fldCharType="begin"/>
      </w:r>
      <w:r w:rsidR="0059099F">
        <w:instrText xml:space="preserve"> SEQ Διάγραμμα \* ARABIC </w:instrText>
      </w:r>
      <w:r w:rsidR="0059099F">
        <w:fldChar w:fldCharType="separate"/>
      </w:r>
      <w:r>
        <w:rPr>
          <w:noProof/>
        </w:rPr>
        <w:t>3</w:t>
      </w:r>
      <w:r w:rsidR="0059099F">
        <w:rPr>
          <w:noProof/>
        </w:rPr>
        <w:fldChar w:fldCharType="end"/>
      </w:r>
      <w:r w:rsidRPr="007A5AF3">
        <w:t xml:space="preserve"> Ισοζύγιο τρεχουσών συναλλαγών Ιανουαρίου-Δεκεμβρίου, σε εκατ. ευρώ</w:t>
      </w:r>
      <w:bookmarkEnd w:id="53"/>
    </w:p>
    <w:p w14:paraId="78502251" w14:textId="77777777" w:rsidR="00646BE3" w:rsidRPr="004209C8" w:rsidRDefault="00646BE3" w:rsidP="00646BE3">
      <w:pPr>
        <w:autoSpaceDE w:val="0"/>
        <w:autoSpaceDN w:val="0"/>
        <w:adjustRightInd w:val="0"/>
        <w:spacing w:before="240" w:after="0" w:line="276" w:lineRule="auto"/>
        <w:jc w:val="center"/>
        <w:rPr>
          <w:rFonts w:ascii="Calibri" w:eastAsia="Calibri" w:hAnsi="Calibri" w:cs="Times New Roman"/>
          <w:color w:val="595959"/>
        </w:rPr>
      </w:pPr>
      <w:r>
        <w:rPr>
          <w:rFonts w:ascii="Calibri" w:eastAsia="Calibri" w:hAnsi="Calibri" w:cs="Times New Roman"/>
          <w:noProof/>
          <w:color w:val="595959"/>
          <w:lang w:val="en-US"/>
        </w:rPr>
        <w:drawing>
          <wp:inline distT="0" distB="0" distL="0" distR="0" wp14:anchorId="1CE92D8F" wp14:editId="3885951A">
            <wp:extent cx="4834800" cy="2732400"/>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834800" cy="2732400"/>
                    </a:xfrm>
                    <a:prstGeom prst="rect">
                      <a:avLst/>
                    </a:prstGeom>
                  </pic:spPr>
                </pic:pic>
              </a:graphicData>
            </a:graphic>
          </wp:inline>
        </w:drawing>
      </w:r>
    </w:p>
    <w:p w14:paraId="3541778F" w14:textId="77777777" w:rsidR="00646BE3" w:rsidRPr="004209C8" w:rsidRDefault="00646BE3" w:rsidP="00646BE3">
      <w:pPr>
        <w:autoSpaceDE w:val="0"/>
        <w:autoSpaceDN w:val="0"/>
        <w:adjustRightInd w:val="0"/>
        <w:spacing w:after="0" w:line="276" w:lineRule="auto"/>
        <w:jc w:val="center"/>
        <w:rPr>
          <w:rFonts w:ascii="Calibri" w:eastAsia="Calibri" w:hAnsi="Calibri" w:cs="Times New Roman"/>
          <w:color w:val="595959"/>
        </w:rPr>
      </w:pPr>
    </w:p>
    <w:p w14:paraId="2B9485C9" w14:textId="77777777" w:rsidR="00646BE3" w:rsidRDefault="00646BE3" w:rsidP="00646BE3">
      <w:pPr>
        <w:autoSpaceDE w:val="0"/>
        <w:autoSpaceDN w:val="0"/>
        <w:adjustRightInd w:val="0"/>
        <w:spacing w:after="0" w:line="276" w:lineRule="auto"/>
        <w:jc w:val="both"/>
        <w:rPr>
          <w:rFonts w:ascii="Calibri" w:eastAsia="Calibri" w:hAnsi="Calibri" w:cs="Times New Roman"/>
          <w:color w:val="595959" w:themeColor="text1" w:themeTint="A6"/>
        </w:rPr>
      </w:pPr>
      <w:r w:rsidRPr="00665C30">
        <w:rPr>
          <w:rFonts w:ascii="Calibri" w:eastAsia="Calibri" w:hAnsi="Calibri" w:cs="Times New Roman"/>
          <w:color w:val="595959" w:themeColor="text1" w:themeTint="A6"/>
        </w:rPr>
        <w:t xml:space="preserve">Ειδικά για τον μήνα </w:t>
      </w:r>
      <w:r>
        <w:rPr>
          <w:rFonts w:ascii="Calibri" w:eastAsia="Calibri" w:hAnsi="Calibri" w:cs="Times New Roman"/>
          <w:color w:val="595959" w:themeColor="text1" w:themeTint="A6"/>
        </w:rPr>
        <w:t>Δεκέμβριο</w:t>
      </w:r>
      <w:r w:rsidRPr="00665C30">
        <w:rPr>
          <w:rFonts w:ascii="Calibri" w:eastAsia="Calibri" w:hAnsi="Calibri" w:cs="Times New Roman"/>
          <w:color w:val="595959" w:themeColor="text1" w:themeTint="A6"/>
        </w:rPr>
        <w:t xml:space="preserve"> του 2021, το έλλειμμα </w:t>
      </w:r>
      <w:r>
        <w:rPr>
          <w:rFonts w:ascii="Calibri" w:eastAsia="Calibri" w:hAnsi="Calibri" w:cs="Times New Roman"/>
          <w:color w:val="595959" w:themeColor="text1" w:themeTint="A6"/>
        </w:rPr>
        <w:t>αυξήθηκε</w:t>
      </w:r>
      <w:r w:rsidRPr="00665C30">
        <w:rPr>
          <w:rFonts w:ascii="Calibri" w:eastAsia="Calibri" w:hAnsi="Calibri" w:cs="Times New Roman"/>
          <w:color w:val="595959" w:themeColor="text1" w:themeTint="A6"/>
        </w:rPr>
        <w:t xml:space="preserve"> κατά </w:t>
      </w:r>
      <w:r>
        <w:rPr>
          <w:rFonts w:ascii="Calibri" w:eastAsia="Calibri" w:hAnsi="Calibri" w:cs="Times New Roman"/>
          <w:color w:val="595959" w:themeColor="text1" w:themeTint="A6"/>
        </w:rPr>
        <w:t>1.067</w:t>
      </w:r>
      <w:r w:rsidRPr="00665C30">
        <w:rPr>
          <w:rFonts w:ascii="Calibri" w:eastAsia="Calibri" w:hAnsi="Calibri" w:cs="Times New Roman"/>
          <w:color w:val="595959" w:themeColor="text1" w:themeTint="A6"/>
        </w:rPr>
        <w:t xml:space="preserve"> εκατ. ευρώ, εξέλιξη που οφείλεται κυρίως στη </w:t>
      </w:r>
      <w:r>
        <w:rPr>
          <w:rFonts w:ascii="Calibri" w:eastAsia="Calibri" w:hAnsi="Calibri" w:cs="Times New Roman"/>
          <w:color w:val="595959" w:themeColor="text1" w:themeTint="A6"/>
        </w:rPr>
        <w:t>επιδείνωση</w:t>
      </w:r>
      <w:r w:rsidRPr="00665C30">
        <w:rPr>
          <w:rFonts w:ascii="Calibri" w:eastAsia="Calibri" w:hAnsi="Calibri" w:cs="Times New Roman"/>
          <w:color w:val="595959" w:themeColor="text1" w:themeTint="A6"/>
        </w:rPr>
        <w:t xml:space="preserve"> τ</w:t>
      </w:r>
      <w:r>
        <w:rPr>
          <w:rFonts w:ascii="Calibri" w:eastAsia="Calibri" w:hAnsi="Calibri" w:cs="Times New Roman"/>
          <w:color w:val="595959" w:themeColor="text1" w:themeTint="A6"/>
        </w:rPr>
        <w:t>ου</w:t>
      </w:r>
      <w:r w:rsidRPr="00665C30">
        <w:rPr>
          <w:rFonts w:ascii="Calibri" w:eastAsia="Calibri" w:hAnsi="Calibri" w:cs="Times New Roman"/>
          <w:color w:val="595959" w:themeColor="text1" w:themeTint="A6"/>
        </w:rPr>
        <w:t xml:space="preserve"> ισοζυγί</w:t>
      </w:r>
      <w:r>
        <w:rPr>
          <w:rFonts w:ascii="Calibri" w:eastAsia="Calibri" w:hAnsi="Calibri" w:cs="Times New Roman"/>
          <w:color w:val="595959" w:themeColor="text1" w:themeTint="A6"/>
        </w:rPr>
        <w:t>ου</w:t>
      </w:r>
      <w:r w:rsidRPr="00665C30">
        <w:rPr>
          <w:rFonts w:ascii="Calibri" w:eastAsia="Calibri" w:hAnsi="Calibri" w:cs="Times New Roman"/>
          <w:color w:val="595959" w:themeColor="text1" w:themeTint="A6"/>
        </w:rPr>
        <w:t xml:space="preserve"> </w:t>
      </w:r>
      <w:r>
        <w:rPr>
          <w:rFonts w:ascii="Calibri" w:eastAsia="Calibri" w:hAnsi="Calibri" w:cs="Times New Roman"/>
          <w:color w:val="595959" w:themeColor="text1" w:themeTint="A6"/>
        </w:rPr>
        <w:t>αγαθών</w:t>
      </w:r>
      <w:r w:rsidRPr="00665C30">
        <w:rPr>
          <w:rFonts w:ascii="Calibri" w:eastAsia="Calibri" w:hAnsi="Calibri" w:cs="Times New Roman"/>
          <w:color w:val="595959" w:themeColor="text1" w:themeTint="A6"/>
        </w:rPr>
        <w:t xml:space="preserve"> (αύξηση </w:t>
      </w:r>
      <w:r>
        <w:rPr>
          <w:rFonts w:ascii="Calibri" w:eastAsia="Calibri" w:hAnsi="Calibri" w:cs="Times New Roman"/>
          <w:color w:val="595959" w:themeColor="text1" w:themeTint="A6"/>
        </w:rPr>
        <w:t>ελλείμματος</w:t>
      </w:r>
      <w:r w:rsidRPr="00665C30">
        <w:rPr>
          <w:rFonts w:ascii="Calibri" w:eastAsia="Calibri" w:hAnsi="Calibri" w:cs="Times New Roman"/>
          <w:color w:val="595959" w:themeColor="text1" w:themeTint="A6"/>
        </w:rPr>
        <w:t xml:space="preserve"> κατά </w:t>
      </w:r>
      <w:r>
        <w:rPr>
          <w:rFonts w:ascii="Calibri" w:eastAsia="Calibri" w:hAnsi="Calibri" w:cs="Times New Roman"/>
          <w:color w:val="595959" w:themeColor="text1" w:themeTint="A6"/>
        </w:rPr>
        <w:t>1.259</w:t>
      </w:r>
      <w:r w:rsidRPr="00665C30">
        <w:rPr>
          <w:rFonts w:ascii="Calibri" w:eastAsia="Calibri" w:hAnsi="Calibri" w:cs="Times New Roman"/>
          <w:color w:val="595959" w:themeColor="text1" w:themeTint="A6"/>
        </w:rPr>
        <w:t xml:space="preserve"> εκατ. ευρώ)</w:t>
      </w:r>
      <w:r>
        <w:rPr>
          <w:rFonts w:ascii="Calibri" w:eastAsia="Calibri" w:hAnsi="Calibri" w:cs="Times New Roman"/>
          <w:color w:val="595959" w:themeColor="text1" w:themeTint="A6"/>
        </w:rPr>
        <w:t xml:space="preserve">. Επιπλέον, αρνητική ήταν και η συμβολή του </w:t>
      </w:r>
      <w:r w:rsidRPr="00B00856">
        <w:rPr>
          <w:rFonts w:ascii="Calibri" w:eastAsia="Calibri" w:hAnsi="Calibri" w:cs="Times New Roman"/>
          <w:color w:val="595959" w:themeColor="text1" w:themeTint="A6"/>
        </w:rPr>
        <w:t>ισοζ</w:t>
      </w:r>
      <w:r>
        <w:rPr>
          <w:rFonts w:ascii="Calibri" w:eastAsia="Calibri" w:hAnsi="Calibri" w:cs="Times New Roman"/>
          <w:color w:val="595959" w:themeColor="text1" w:themeTint="A6"/>
        </w:rPr>
        <w:t>υ</w:t>
      </w:r>
      <w:r w:rsidRPr="00B00856">
        <w:rPr>
          <w:rFonts w:ascii="Calibri" w:eastAsia="Calibri" w:hAnsi="Calibri" w:cs="Times New Roman"/>
          <w:color w:val="595959" w:themeColor="text1" w:themeTint="A6"/>
        </w:rPr>
        <w:t>γ</w:t>
      </w:r>
      <w:r>
        <w:rPr>
          <w:rFonts w:ascii="Calibri" w:eastAsia="Calibri" w:hAnsi="Calibri" w:cs="Times New Roman"/>
          <w:color w:val="595959" w:themeColor="text1" w:themeTint="A6"/>
        </w:rPr>
        <w:t>ίου</w:t>
      </w:r>
      <w:r w:rsidRPr="00B00856">
        <w:rPr>
          <w:rFonts w:ascii="Calibri" w:eastAsia="Calibri" w:hAnsi="Calibri" w:cs="Times New Roman"/>
          <w:color w:val="595959" w:themeColor="text1" w:themeTint="A6"/>
        </w:rPr>
        <w:t xml:space="preserve"> πρωτογενών εισοδημάτων (</w:t>
      </w:r>
      <w:r>
        <w:rPr>
          <w:rFonts w:ascii="Calibri" w:eastAsia="Calibri" w:hAnsi="Calibri" w:cs="Times New Roman"/>
          <w:color w:val="595959" w:themeColor="text1" w:themeTint="A6"/>
        </w:rPr>
        <w:t>μείωση</w:t>
      </w:r>
      <w:r w:rsidRPr="00B00856">
        <w:rPr>
          <w:rFonts w:ascii="Calibri" w:eastAsia="Calibri" w:hAnsi="Calibri" w:cs="Times New Roman"/>
          <w:color w:val="595959" w:themeColor="text1" w:themeTint="A6"/>
        </w:rPr>
        <w:t xml:space="preserve"> </w:t>
      </w:r>
      <w:r>
        <w:rPr>
          <w:rFonts w:ascii="Calibri" w:eastAsia="Calibri" w:hAnsi="Calibri" w:cs="Times New Roman"/>
          <w:color w:val="595959" w:themeColor="text1" w:themeTint="A6"/>
        </w:rPr>
        <w:t>πλεονάσματος</w:t>
      </w:r>
      <w:r w:rsidRPr="00B00856">
        <w:rPr>
          <w:rFonts w:ascii="Calibri" w:eastAsia="Calibri" w:hAnsi="Calibri" w:cs="Times New Roman"/>
          <w:color w:val="595959" w:themeColor="text1" w:themeTint="A6"/>
        </w:rPr>
        <w:t xml:space="preserve"> κατά</w:t>
      </w:r>
      <w:r>
        <w:rPr>
          <w:rFonts w:ascii="Calibri" w:eastAsia="Calibri" w:hAnsi="Calibri" w:cs="Times New Roman"/>
          <w:color w:val="595959" w:themeColor="text1" w:themeTint="A6"/>
        </w:rPr>
        <w:t xml:space="preserve"> 64</w:t>
      </w:r>
      <w:r w:rsidRPr="00B00856">
        <w:rPr>
          <w:rFonts w:ascii="Calibri" w:eastAsia="Calibri" w:hAnsi="Calibri" w:cs="Times New Roman"/>
          <w:color w:val="595959" w:themeColor="text1" w:themeTint="A6"/>
        </w:rPr>
        <w:t xml:space="preserve"> εκατ. ευρώ)</w:t>
      </w:r>
      <w:r>
        <w:rPr>
          <w:rFonts w:ascii="Calibri" w:eastAsia="Calibri" w:hAnsi="Calibri" w:cs="Times New Roman"/>
          <w:color w:val="595959" w:themeColor="text1" w:themeTint="A6"/>
        </w:rPr>
        <w:t>, ενώ η θετική συμβολή τ</w:t>
      </w:r>
      <w:r>
        <w:rPr>
          <w:rFonts w:ascii="Calibri" w:eastAsia="Calibri" w:hAnsi="Calibri" w:cs="Times New Roman"/>
          <w:color w:val="595959" w:themeColor="text1" w:themeTint="A6"/>
          <w:lang w:val="en-US"/>
        </w:rPr>
        <w:t>o</w:t>
      </w:r>
      <w:r>
        <w:rPr>
          <w:rFonts w:ascii="Calibri" w:eastAsia="Calibri" w:hAnsi="Calibri" w:cs="Times New Roman"/>
          <w:color w:val="595959" w:themeColor="text1" w:themeTint="A6"/>
        </w:rPr>
        <w:t xml:space="preserve">υ </w:t>
      </w:r>
      <w:r w:rsidRPr="00B00856">
        <w:rPr>
          <w:rFonts w:ascii="Calibri" w:eastAsia="Calibri" w:hAnsi="Calibri" w:cs="Times New Roman"/>
          <w:color w:val="595959" w:themeColor="text1" w:themeTint="A6"/>
        </w:rPr>
        <w:t>ισοζ</w:t>
      </w:r>
      <w:r>
        <w:rPr>
          <w:rFonts w:ascii="Calibri" w:eastAsia="Calibri" w:hAnsi="Calibri" w:cs="Times New Roman"/>
          <w:color w:val="595959" w:themeColor="text1" w:themeTint="A6"/>
        </w:rPr>
        <w:t>υ</w:t>
      </w:r>
      <w:r w:rsidRPr="00B00856">
        <w:rPr>
          <w:rFonts w:ascii="Calibri" w:eastAsia="Calibri" w:hAnsi="Calibri" w:cs="Times New Roman"/>
          <w:color w:val="595959" w:themeColor="text1" w:themeTint="A6"/>
        </w:rPr>
        <w:t>γ</w:t>
      </w:r>
      <w:r>
        <w:rPr>
          <w:rFonts w:ascii="Calibri" w:eastAsia="Calibri" w:hAnsi="Calibri" w:cs="Times New Roman"/>
          <w:color w:val="595959" w:themeColor="text1" w:themeTint="A6"/>
        </w:rPr>
        <w:t>ίου</w:t>
      </w:r>
      <w:r w:rsidRPr="00B00856">
        <w:rPr>
          <w:rFonts w:ascii="Calibri" w:eastAsia="Calibri" w:hAnsi="Calibri" w:cs="Times New Roman"/>
          <w:color w:val="595959" w:themeColor="text1" w:themeTint="A6"/>
        </w:rPr>
        <w:t xml:space="preserve"> </w:t>
      </w:r>
      <w:r>
        <w:rPr>
          <w:rFonts w:ascii="Calibri" w:eastAsia="Calibri" w:hAnsi="Calibri" w:cs="Times New Roman"/>
          <w:color w:val="595959" w:themeColor="text1" w:themeTint="A6"/>
        </w:rPr>
        <w:t>υπηρεσιών</w:t>
      </w:r>
      <w:r w:rsidRPr="00B00856">
        <w:rPr>
          <w:rFonts w:ascii="Calibri" w:eastAsia="Calibri" w:hAnsi="Calibri" w:cs="Times New Roman"/>
          <w:color w:val="595959" w:themeColor="text1" w:themeTint="A6"/>
        </w:rPr>
        <w:t xml:space="preserve"> (αύξηση </w:t>
      </w:r>
      <w:r>
        <w:rPr>
          <w:rFonts w:ascii="Calibri" w:eastAsia="Calibri" w:hAnsi="Calibri" w:cs="Times New Roman"/>
          <w:color w:val="595959" w:themeColor="text1" w:themeTint="A6"/>
        </w:rPr>
        <w:t>πλεονάσματος</w:t>
      </w:r>
      <w:r w:rsidRPr="00B00856">
        <w:rPr>
          <w:rFonts w:ascii="Calibri" w:eastAsia="Calibri" w:hAnsi="Calibri" w:cs="Times New Roman"/>
          <w:color w:val="595959" w:themeColor="text1" w:themeTint="A6"/>
        </w:rPr>
        <w:t xml:space="preserve"> κατά </w:t>
      </w:r>
      <w:r>
        <w:rPr>
          <w:rFonts w:ascii="Calibri" w:eastAsia="Calibri" w:hAnsi="Calibri" w:cs="Times New Roman"/>
          <w:color w:val="595959" w:themeColor="text1" w:themeTint="A6"/>
        </w:rPr>
        <w:t>215</w:t>
      </w:r>
      <w:r w:rsidRPr="00B00856">
        <w:rPr>
          <w:rFonts w:ascii="Calibri" w:eastAsia="Calibri" w:hAnsi="Calibri" w:cs="Times New Roman"/>
          <w:color w:val="595959" w:themeColor="text1" w:themeTint="A6"/>
        </w:rPr>
        <w:t xml:space="preserve"> εκατ. ευρώ)</w:t>
      </w:r>
      <w:r>
        <w:rPr>
          <w:rFonts w:ascii="Calibri" w:eastAsia="Calibri" w:hAnsi="Calibri" w:cs="Times New Roman"/>
          <w:color w:val="595959" w:themeColor="text1" w:themeTint="A6"/>
        </w:rPr>
        <w:t xml:space="preserve"> </w:t>
      </w:r>
      <w:r w:rsidRPr="00B00856">
        <w:rPr>
          <w:rFonts w:ascii="Calibri" w:eastAsia="Calibri" w:hAnsi="Calibri" w:cs="Times New Roman"/>
          <w:color w:val="595959" w:themeColor="text1" w:themeTint="A6"/>
        </w:rPr>
        <w:t>και</w:t>
      </w:r>
      <w:r w:rsidRPr="000B47AB">
        <w:rPr>
          <w:rFonts w:ascii="Calibri" w:eastAsia="Calibri" w:hAnsi="Calibri" w:cs="Times New Roman"/>
          <w:color w:val="595959" w:themeColor="text1" w:themeTint="A6"/>
        </w:rPr>
        <w:t xml:space="preserve"> </w:t>
      </w:r>
      <w:r>
        <w:rPr>
          <w:rFonts w:ascii="Calibri" w:eastAsia="Calibri" w:hAnsi="Calibri" w:cs="Times New Roman"/>
          <w:color w:val="595959" w:themeColor="text1" w:themeTint="A6"/>
        </w:rPr>
        <w:t>τ</w:t>
      </w:r>
      <w:r>
        <w:rPr>
          <w:rFonts w:ascii="Calibri" w:eastAsia="Calibri" w:hAnsi="Calibri" w:cs="Times New Roman"/>
          <w:color w:val="595959" w:themeColor="text1" w:themeTint="A6"/>
          <w:lang w:val="en-US"/>
        </w:rPr>
        <w:t>o</w:t>
      </w:r>
      <w:r>
        <w:rPr>
          <w:rFonts w:ascii="Calibri" w:eastAsia="Calibri" w:hAnsi="Calibri" w:cs="Times New Roman"/>
          <w:color w:val="595959" w:themeColor="text1" w:themeTint="A6"/>
        </w:rPr>
        <w:t xml:space="preserve">υ </w:t>
      </w:r>
      <w:r w:rsidRPr="00B00856">
        <w:rPr>
          <w:rFonts w:ascii="Calibri" w:eastAsia="Calibri" w:hAnsi="Calibri" w:cs="Times New Roman"/>
          <w:color w:val="595959" w:themeColor="text1" w:themeTint="A6"/>
        </w:rPr>
        <w:t>ισοζ</w:t>
      </w:r>
      <w:r>
        <w:rPr>
          <w:rFonts w:ascii="Calibri" w:eastAsia="Calibri" w:hAnsi="Calibri" w:cs="Times New Roman"/>
          <w:color w:val="595959" w:themeColor="text1" w:themeTint="A6"/>
        </w:rPr>
        <w:t>υ</w:t>
      </w:r>
      <w:r w:rsidRPr="00B00856">
        <w:rPr>
          <w:rFonts w:ascii="Calibri" w:eastAsia="Calibri" w:hAnsi="Calibri" w:cs="Times New Roman"/>
          <w:color w:val="595959" w:themeColor="text1" w:themeTint="A6"/>
        </w:rPr>
        <w:t>γ</w:t>
      </w:r>
      <w:r>
        <w:rPr>
          <w:rFonts w:ascii="Calibri" w:eastAsia="Calibri" w:hAnsi="Calibri" w:cs="Times New Roman"/>
          <w:color w:val="595959" w:themeColor="text1" w:themeTint="A6"/>
        </w:rPr>
        <w:t>ίου</w:t>
      </w:r>
      <w:r w:rsidRPr="00B00856">
        <w:rPr>
          <w:rFonts w:ascii="Calibri" w:eastAsia="Calibri" w:hAnsi="Calibri" w:cs="Times New Roman"/>
          <w:color w:val="595959" w:themeColor="text1" w:themeTint="A6"/>
        </w:rPr>
        <w:t xml:space="preserve"> δευτερογενών εισοδημάτων (αύξηση </w:t>
      </w:r>
      <w:r>
        <w:rPr>
          <w:rFonts w:ascii="Calibri" w:eastAsia="Calibri" w:hAnsi="Calibri" w:cs="Times New Roman"/>
          <w:color w:val="595959" w:themeColor="text1" w:themeTint="A6"/>
        </w:rPr>
        <w:t>πλεονάσματος</w:t>
      </w:r>
      <w:r w:rsidRPr="00B00856">
        <w:rPr>
          <w:rFonts w:ascii="Calibri" w:eastAsia="Calibri" w:hAnsi="Calibri" w:cs="Times New Roman"/>
          <w:color w:val="595959" w:themeColor="text1" w:themeTint="A6"/>
        </w:rPr>
        <w:t xml:space="preserve"> κατά </w:t>
      </w:r>
      <w:r>
        <w:rPr>
          <w:rFonts w:ascii="Calibri" w:eastAsia="Calibri" w:hAnsi="Calibri" w:cs="Times New Roman"/>
          <w:color w:val="595959" w:themeColor="text1" w:themeTint="A6"/>
        </w:rPr>
        <w:t>40</w:t>
      </w:r>
      <w:r w:rsidRPr="00B00856">
        <w:rPr>
          <w:rFonts w:ascii="Calibri" w:eastAsia="Calibri" w:hAnsi="Calibri" w:cs="Times New Roman"/>
          <w:color w:val="595959" w:themeColor="text1" w:themeTint="A6"/>
        </w:rPr>
        <w:t xml:space="preserve"> εκατ. ευρώ)</w:t>
      </w:r>
      <w:r>
        <w:rPr>
          <w:rFonts w:ascii="Calibri" w:eastAsia="Calibri" w:hAnsi="Calibri" w:cs="Times New Roman"/>
          <w:color w:val="595959" w:themeColor="text1" w:themeTint="A6"/>
        </w:rPr>
        <w:t xml:space="preserve"> δεν ήταν ικανή να αντισταθμίσει την αύξηση του ελλείματος.</w:t>
      </w:r>
    </w:p>
    <w:p w14:paraId="7BDD4BE1" w14:textId="77777777" w:rsidR="008A6A8A" w:rsidRDefault="008A6A8A"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73B4EB19" w14:textId="77777777" w:rsidR="008A6A8A" w:rsidRDefault="008A6A8A"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7EAC21BA" w14:textId="77777777" w:rsidR="008A6A8A" w:rsidRDefault="008A6A8A"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2C96E252" w14:textId="77777777" w:rsidR="008A6A8A" w:rsidRDefault="008A6A8A"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3375201C" w14:textId="77777777" w:rsidR="008A6A8A" w:rsidRDefault="008A6A8A"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2F5D8E1E" w14:textId="77777777" w:rsidR="008A6A8A" w:rsidRDefault="008A6A8A"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3321D45D" w14:textId="77777777" w:rsidR="008A6A8A" w:rsidRDefault="008A6A8A"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33DCC7DB" w14:textId="77777777" w:rsidR="008A6A8A" w:rsidRDefault="008A6A8A"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37EBEEC1" w14:textId="77777777" w:rsidR="008A6A8A" w:rsidRDefault="008A6A8A"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713345EA" w14:textId="77777777" w:rsidR="008A6A8A" w:rsidRPr="00665C30" w:rsidRDefault="008A6A8A" w:rsidP="00646BE3">
      <w:pPr>
        <w:autoSpaceDE w:val="0"/>
        <w:autoSpaceDN w:val="0"/>
        <w:adjustRightInd w:val="0"/>
        <w:spacing w:after="0" w:line="276" w:lineRule="auto"/>
        <w:jc w:val="both"/>
        <w:rPr>
          <w:rFonts w:ascii="Calibri" w:eastAsia="Calibri" w:hAnsi="Calibri" w:cs="Times New Roman"/>
          <w:color w:val="595959" w:themeColor="text1" w:themeTint="A6"/>
        </w:rPr>
      </w:pPr>
    </w:p>
    <w:p w14:paraId="570E201C" w14:textId="77777777" w:rsidR="00646BE3" w:rsidRPr="000B47AB" w:rsidRDefault="00646BE3" w:rsidP="00646BE3">
      <w:pPr>
        <w:autoSpaceDE w:val="0"/>
        <w:autoSpaceDN w:val="0"/>
        <w:adjustRightInd w:val="0"/>
        <w:spacing w:after="0" w:line="276" w:lineRule="auto"/>
        <w:jc w:val="both"/>
        <w:rPr>
          <w:rFonts w:ascii="Calibri" w:eastAsia="Calibri" w:hAnsi="Calibri" w:cs="Times New Roman"/>
          <w:color w:val="595959"/>
        </w:rPr>
      </w:pPr>
    </w:p>
    <w:p w14:paraId="53F2C6FC" w14:textId="77777777" w:rsidR="00646BE3" w:rsidRPr="004209C8" w:rsidRDefault="00646BE3" w:rsidP="00646BE3">
      <w:pPr>
        <w:pStyle w:val="Heading3"/>
        <w:spacing w:before="0"/>
        <w:rPr>
          <w:rFonts w:eastAsia="Times New Roman"/>
        </w:rPr>
      </w:pPr>
      <w:bookmarkStart w:id="54" w:name="_Toc90033341"/>
      <w:bookmarkStart w:id="55" w:name="_Toc98160523"/>
      <w:r w:rsidRPr="004209C8">
        <w:rPr>
          <w:rFonts w:eastAsia="Times New Roman"/>
        </w:rPr>
        <w:lastRenderedPageBreak/>
        <w:t>Ανεργία</w:t>
      </w:r>
      <w:bookmarkEnd w:id="54"/>
      <w:bookmarkEnd w:id="55"/>
    </w:p>
    <w:p w14:paraId="23C89235" w14:textId="77777777" w:rsidR="00646BE3" w:rsidRPr="004209C8" w:rsidRDefault="00646BE3" w:rsidP="00646BE3">
      <w:pPr>
        <w:spacing w:after="0" w:line="276" w:lineRule="auto"/>
        <w:jc w:val="both"/>
      </w:pPr>
    </w:p>
    <w:p w14:paraId="609DBADE" w14:textId="77777777" w:rsidR="001577B9" w:rsidRDefault="00646BE3" w:rsidP="00217581">
      <w:pPr>
        <w:autoSpaceDE w:val="0"/>
        <w:autoSpaceDN w:val="0"/>
        <w:adjustRightInd w:val="0"/>
        <w:spacing w:after="0" w:line="276" w:lineRule="auto"/>
        <w:jc w:val="both"/>
        <w:rPr>
          <w:rFonts w:ascii="Calibri" w:eastAsia="Calibri" w:hAnsi="Calibri" w:cs="Times New Roman"/>
          <w:color w:val="595959" w:themeColor="text1" w:themeTint="A6"/>
        </w:rPr>
      </w:pPr>
      <w:r w:rsidRPr="005D3BD4">
        <w:rPr>
          <w:rFonts w:ascii="Calibri" w:eastAsia="Calibri" w:hAnsi="Calibri" w:cs="Times New Roman"/>
          <w:color w:val="595959" w:themeColor="text1" w:themeTint="A6"/>
        </w:rPr>
        <w:t xml:space="preserve">Σύμφωνα </w:t>
      </w:r>
      <w:r w:rsidRPr="00246238">
        <w:rPr>
          <w:rFonts w:ascii="Calibri" w:eastAsia="Calibri" w:hAnsi="Calibri" w:cs="Times New Roman"/>
          <w:color w:val="595959"/>
        </w:rPr>
        <w:t xml:space="preserve">με τη </w:t>
      </w:r>
      <w:hyperlink r:id="rId40" w:history="1">
        <w:r w:rsidRPr="00246238">
          <w:rPr>
            <w:rStyle w:val="Hyperlink"/>
            <w:rFonts w:ascii="Calibri" w:eastAsia="Calibri" w:hAnsi="Calibri" w:cs="Times New Roman"/>
            <w:color w:val="595959"/>
          </w:rPr>
          <w:t>Μηνιαία Έρευνα Εργατικού Δυναμικού της ΕΛΣΤΑΤ</w:t>
        </w:r>
      </w:hyperlink>
      <w:r w:rsidRPr="005D3BD4">
        <w:rPr>
          <w:rFonts w:ascii="Calibri" w:eastAsia="Calibri" w:hAnsi="Calibri" w:cs="Times New Roman"/>
          <w:b/>
          <w:bCs/>
          <w:color w:val="595959"/>
        </w:rPr>
        <w:t xml:space="preserve">, </w:t>
      </w:r>
      <w:r w:rsidRPr="005D3BD4">
        <w:rPr>
          <w:rFonts w:ascii="Calibri" w:eastAsia="Calibri" w:hAnsi="Calibri" w:cs="Times New Roman"/>
          <w:color w:val="595959"/>
        </w:rPr>
        <w:t xml:space="preserve">το </w:t>
      </w:r>
      <w:r w:rsidRPr="005D3BD4">
        <w:rPr>
          <w:rFonts w:ascii="Calibri" w:eastAsia="Calibri" w:hAnsi="Calibri" w:cs="Times New Roman"/>
          <w:color w:val="595959" w:themeColor="text1" w:themeTint="A6"/>
        </w:rPr>
        <w:t xml:space="preserve">εποχικά διορθωμένο ποσοστό ανεργίας τον </w:t>
      </w:r>
      <w:bookmarkStart w:id="56" w:name="_Hlk96456441"/>
      <w:r>
        <w:rPr>
          <w:rFonts w:ascii="Calibri" w:eastAsia="Calibri" w:hAnsi="Calibri" w:cs="Times New Roman"/>
          <w:color w:val="595959" w:themeColor="text1" w:themeTint="A6"/>
        </w:rPr>
        <w:t>Δεκέμβριο</w:t>
      </w:r>
      <w:r w:rsidRPr="005D3BD4">
        <w:rPr>
          <w:rFonts w:ascii="Calibri" w:eastAsia="Calibri" w:hAnsi="Calibri" w:cs="Times New Roman"/>
          <w:color w:val="595959" w:themeColor="text1" w:themeTint="A6"/>
        </w:rPr>
        <w:t xml:space="preserve"> </w:t>
      </w:r>
      <w:bookmarkEnd w:id="56"/>
      <w:r w:rsidRPr="005D3BD4">
        <w:rPr>
          <w:rFonts w:ascii="Calibri" w:eastAsia="Calibri" w:hAnsi="Calibri" w:cs="Times New Roman"/>
          <w:color w:val="595959" w:themeColor="text1" w:themeTint="A6"/>
        </w:rPr>
        <w:t xml:space="preserve">του 2021 διαμορφώθηκε σε </w:t>
      </w:r>
      <w:r>
        <w:rPr>
          <w:rFonts w:ascii="Calibri" w:eastAsia="Calibri" w:hAnsi="Calibri" w:cs="Times New Roman"/>
          <w:color w:val="595959" w:themeColor="text1" w:themeTint="A6"/>
        </w:rPr>
        <w:t>12,8</w:t>
      </w:r>
      <w:r w:rsidRPr="005D3BD4">
        <w:rPr>
          <w:rFonts w:ascii="Calibri" w:eastAsia="Calibri" w:hAnsi="Calibri" w:cs="Times New Roman"/>
          <w:color w:val="595959" w:themeColor="text1" w:themeTint="A6"/>
        </w:rPr>
        <w:t xml:space="preserve">% έναντι </w:t>
      </w:r>
      <w:r>
        <w:rPr>
          <w:rFonts w:ascii="Calibri" w:eastAsia="Calibri" w:hAnsi="Calibri" w:cs="Times New Roman"/>
          <w:color w:val="595959" w:themeColor="text1" w:themeTint="A6"/>
        </w:rPr>
        <w:t>15,5</w:t>
      </w:r>
      <w:r w:rsidRPr="005D3BD4">
        <w:rPr>
          <w:rFonts w:ascii="Calibri" w:eastAsia="Calibri" w:hAnsi="Calibri" w:cs="Times New Roman"/>
          <w:color w:val="595959" w:themeColor="text1" w:themeTint="A6"/>
        </w:rPr>
        <w:t xml:space="preserve">% τον ίδιο μήνα του προηγούμενου έτους και </w:t>
      </w:r>
      <w:r>
        <w:rPr>
          <w:rFonts w:ascii="Calibri" w:eastAsia="Calibri" w:hAnsi="Calibri" w:cs="Times New Roman"/>
          <w:color w:val="595959" w:themeColor="text1" w:themeTint="A6"/>
        </w:rPr>
        <w:t xml:space="preserve">σε </w:t>
      </w:r>
      <w:r w:rsidRPr="005D3BD4">
        <w:rPr>
          <w:rFonts w:ascii="Calibri" w:eastAsia="Calibri" w:hAnsi="Calibri" w:cs="Times New Roman"/>
          <w:color w:val="595959" w:themeColor="text1" w:themeTint="A6"/>
        </w:rPr>
        <w:t>13,</w:t>
      </w:r>
      <w:r>
        <w:rPr>
          <w:rFonts w:ascii="Calibri" w:eastAsia="Calibri" w:hAnsi="Calibri" w:cs="Times New Roman"/>
          <w:color w:val="595959" w:themeColor="text1" w:themeTint="A6"/>
        </w:rPr>
        <w:t>4</w:t>
      </w:r>
      <w:r w:rsidRPr="005D3BD4">
        <w:rPr>
          <w:rFonts w:ascii="Calibri" w:eastAsia="Calibri" w:hAnsi="Calibri" w:cs="Times New Roman"/>
          <w:color w:val="595959" w:themeColor="text1" w:themeTint="A6"/>
        </w:rPr>
        <w:t xml:space="preserve">% τον </w:t>
      </w:r>
      <w:r>
        <w:rPr>
          <w:rFonts w:ascii="Calibri" w:eastAsia="Calibri" w:hAnsi="Calibri" w:cs="Times New Roman"/>
          <w:color w:val="595959" w:themeColor="text1" w:themeTint="A6"/>
        </w:rPr>
        <w:t>Νοέμβριο</w:t>
      </w:r>
      <w:r w:rsidRPr="004628F6">
        <w:rPr>
          <w:rFonts w:ascii="Calibri" w:eastAsia="Calibri" w:hAnsi="Calibri" w:cs="Times New Roman"/>
          <w:color w:val="595959" w:themeColor="text1" w:themeTint="A6"/>
        </w:rPr>
        <w:t xml:space="preserve"> </w:t>
      </w:r>
      <w:r w:rsidRPr="005D3BD4">
        <w:rPr>
          <w:rFonts w:ascii="Calibri" w:eastAsia="Calibri" w:hAnsi="Calibri" w:cs="Times New Roman"/>
          <w:color w:val="595959" w:themeColor="text1" w:themeTint="A6"/>
        </w:rPr>
        <w:t xml:space="preserve">του 2021. Ο αριθμός των ανέργων τον </w:t>
      </w:r>
      <w:r w:rsidRPr="003340E3">
        <w:rPr>
          <w:rFonts w:ascii="Calibri" w:eastAsia="Calibri" w:hAnsi="Calibri" w:cs="Times New Roman"/>
          <w:color w:val="595959" w:themeColor="text1" w:themeTint="A6"/>
        </w:rPr>
        <w:t xml:space="preserve">Δεκέμβριο </w:t>
      </w:r>
      <w:r w:rsidRPr="005D3BD4">
        <w:rPr>
          <w:rFonts w:ascii="Calibri" w:eastAsia="Calibri" w:hAnsi="Calibri" w:cs="Times New Roman"/>
          <w:color w:val="595959" w:themeColor="text1" w:themeTint="A6"/>
        </w:rPr>
        <w:t xml:space="preserve">του 2021 ανήλθε σε </w:t>
      </w:r>
      <w:r>
        <w:rPr>
          <w:rFonts w:ascii="Calibri" w:eastAsia="Calibri" w:hAnsi="Calibri" w:cs="Times New Roman"/>
          <w:color w:val="595959" w:themeColor="text1" w:themeTint="A6"/>
        </w:rPr>
        <w:t>596</w:t>
      </w:r>
      <w:r w:rsidRPr="005D3BD4">
        <w:rPr>
          <w:rFonts w:ascii="Calibri" w:eastAsia="Calibri" w:hAnsi="Calibri" w:cs="Times New Roman"/>
          <w:color w:val="595959" w:themeColor="text1" w:themeTint="A6"/>
        </w:rPr>
        <w:t>.</w:t>
      </w:r>
      <w:r>
        <w:rPr>
          <w:rFonts w:ascii="Calibri" w:eastAsia="Calibri" w:hAnsi="Calibri" w:cs="Times New Roman"/>
          <w:color w:val="595959" w:themeColor="text1" w:themeTint="A6"/>
        </w:rPr>
        <w:t>067</w:t>
      </w:r>
      <w:r w:rsidRPr="005D3BD4">
        <w:rPr>
          <w:rFonts w:ascii="Calibri" w:eastAsia="Calibri" w:hAnsi="Calibri" w:cs="Times New Roman"/>
          <w:color w:val="595959" w:themeColor="text1" w:themeTint="A6"/>
        </w:rPr>
        <w:t xml:space="preserve"> άτομα, μειωμένος κατά </w:t>
      </w:r>
      <w:r>
        <w:rPr>
          <w:rFonts w:ascii="Calibri" w:eastAsia="Calibri" w:hAnsi="Calibri" w:cs="Times New Roman"/>
          <w:color w:val="595959" w:themeColor="text1" w:themeTint="A6"/>
        </w:rPr>
        <w:t>118</w:t>
      </w:r>
      <w:r w:rsidRPr="005D3BD4">
        <w:rPr>
          <w:rFonts w:ascii="Calibri" w:eastAsia="Calibri" w:hAnsi="Calibri" w:cs="Times New Roman"/>
          <w:color w:val="595959" w:themeColor="text1" w:themeTint="A6"/>
        </w:rPr>
        <w:t>.</w:t>
      </w:r>
      <w:r>
        <w:rPr>
          <w:rFonts w:ascii="Calibri" w:eastAsia="Calibri" w:hAnsi="Calibri" w:cs="Times New Roman"/>
          <w:color w:val="595959" w:themeColor="text1" w:themeTint="A6"/>
        </w:rPr>
        <w:t>891</w:t>
      </w:r>
      <w:r w:rsidRPr="005D3BD4">
        <w:rPr>
          <w:rFonts w:ascii="Calibri" w:eastAsia="Calibri" w:hAnsi="Calibri" w:cs="Times New Roman"/>
          <w:color w:val="595959" w:themeColor="text1" w:themeTint="A6"/>
        </w:rPr>
        <w:t xml:space="preserve"> άτομα σε σχέση με τον </w:t>
      </w:r>
      <w:bookmarkStart w:id="57" w:name="_Hlk96457871"/>
      <w:r w:rsidRPr="00EB39BF">
        <w:rPr>
          <w:rFonts w:ascii="Calibri" w:eastAsia="Calibri" w:hAnsi="Calibri" w:cs="Times New Roman"/>
          <w:color w:val="595959" w:themeColor="text1" w:themeTint="A6"/>
        </w:rPr>
        <w:t xml:space="preserve">Δεκέμβριο </w:t>
      </w:r>
      <w:bookmarkEnd w:id="57"/>
      <w:r w:rsidRPr="005D3BD4">
        <w:rPr>
          <w:rFonts w:ascii="Calibri" w:eastAsia="Calibri" w:hAnsi="Calibri" w:cs="Times New Roman"/>
          <w:color w:val="595959"/>
        </w:rPr>
        <w:t>του</w:t>
      </w:r>
      <w:r w:rsidRPr="005D3BD4">
        <w:rPr>
          <w:rFonts w:ascii="Calibri" w:eastAsia="Calibri" w:hAnsi="Calibri" w:cs="Times New Roman"/>
          <w:color w:val="595959" w:themeColor="text1" w:themeTint="A6"/>
        </w:rPr>
        <w:t xml:space="preserve"> 2020 (μείωση </w:t>
      </w:r>
      <w:r>
        <w:rPr>
          <w:rFonts w:ascii="Calibri" w:eastAsia="Calibri" w:hAnsi="Calibri" w:cs="Times New Roman"/>
          <w:color w:val="595959" w:themeColor="text1" w:themeTint="A6"/>
        </w:rPr>
        <w:t>16,6</w:t>
      </w:r>
      <w:r w:rsidRPr="005D3BD4">
        <w:rPr>
          <w:rFonts w:ascii="Calibri" w:eastAsia="Calibri" w:hAnsi="Calibri" w:cs="Times New Roman"/>
          <w:color w:val="595959" w:themeColor="text1" w:themeTint="A6"/>
        </w:rPr>
        <w:t xml:space="preserve">%) και κατά </w:t>
      </w:r>
      <w:r>
        <w:rPr>
          <w:rFonts w:ascii="Calibri" w:eastAsia="Calibri" w:hAnsi="Calibri" w:cs="Times New Roman"/>
          <w:color w:val="595959" w:themeColor="text1" w:themeTint="A6"/>
        </w:rPr>
        <w:t>3</w:t>
      </w:r>
      <w:r w:rsidRPr="005D3BD4">
        <w:rPr>
          <w:rFonts w:ascii="Calibri" w:eastAsia="Calibri" w:hAnsi="Calibri" w:cs="Times New Roman"/>
          <w:color w:val="595959" w:themeColor="text1" w:themeTint="A6"/>
        </w:rPr>
        <w:t>5.</w:t>
      </w:r>
      <w:r>
        <w:rPr>
          <w:rFonts w:ascii="Calibri" w:eastAsia="Calibri" w:hAnsi="Calibri" w:cs="Times New Roman"/>
          <w:color w:val="595959" w:themeColor="text1" w:themeTint="A6"/>
        </w:rPr>
        <w:t>781</w:t>
      </w:r>
      <w:r w:rsidRPr="005D3BD4">
        <w:rPr>
          <w:rFonts w:ascii="Calibri" w:eastAsia="Calibri" w:hAnsi="Calibri" w:cs="Times New Roman"/>
          <w:color w:val="595959" w:themeColor="text1" w:themeTint="A6"/>
        </w:rPr>
        <w:t xml:space="preserve"> άτομα σε σχέση με τον </w:t>
      </w:r>
      <w:r w:rsidRPr="00EB39BF">
        <w:rPr>
          <w:rFonts w:ascii="Calibri" w:eastAsia="Calibri" w:hAnsi="Calibri" w:cs="Times New Roman"/>
          <w:color w:val="595959" w:themeColor="text1" w:themeTint="A6"/>
        </w:rPr>
        <w:t xml:space="preserve">Νοέμβριο </w:t>
      </w:r>
      <w:r w:rsidRPr="005D3BD4">
        <w:rPr>
          <w:rFonts w:ascii="Calibri" w:eastAsia="Calibri" w:hAnsi="Calibri" w:cs="Times New Roman"/>
          <w:color w:val="595959" w:themeColor="text1" w:themeTint="A6"/>
        </w:rPr>
        <w:t>του 2021 (</w:t>
      </w:r>
      <w:r w:rsidRPr="0068216D">
        <w:rPr>
          <w:rFonts w:ascii="Calibri" w:eastAsia="Calibri" w:hAnsi="Calibri" w:cs="Times New Roman"/>
          <w:color w:val="595959" w:themeColor="text1" w:themeTint="A6"/>
        </w:rPr>
        <w:t xml:space="preserve">μείωση </w:t>
      </w:r>
      <w:r>
        <w:rPr>
          <w:rFonts w:ascii="Calibri" w:eastAsia="Calibri" w:hAnsi="Calibri" w:cs="Times New Roman"/>
          <w:color w:val="595959" w:themeColor="text1" w:themeTint="A6"/>
        </w:rPr>
        <w:t>5,7</w:t>
      </w:r>
      <w:r w:rsidRPr="005D3BD4">
        <w:rPr>
          <w:rFonts w:ascii="Calibri" w:eastAsia="Calibri" w:hAnsi="Calibri" w:cs="Times New Roman"/>
          <w:color w:val="595959" w:themeColor="text1" w:themeTint="A6"/>
        </w:rPr>
        <w:t xml:space="preserve">%). </w:t>
      </w:r>
    </w:p>
    <w:p w14:paraId="1E16B8A8" w14:textId="77777777" w:rsidR="00217581" w:rsidRPr="00217581" w:rsidRDefault="00217581" w:rsidP="00217581">
      <w:pPr>
        <w:autoSpaceDE w:val="0"/>
        <w:autoSpaceDN w:val="0"/>
        <w:adjustRightInd w:val="0"/>
        <w:spacing w:after="0" w:line="276" w:lineRule="auto"/>
        <w:jc w:val="both"/>
        <w:rPr>
          <w:rFonts w:ascii="Calibri" w:eastAsia="Calibri" w:hAnsi="Calibri" w:cs="Times New Roman"/>
          <w:color w:val="595959" w:themeColor="text1" w:themeTint="A6"/>
        </w:rPr>
      </w:pPr>
    </w:p>
    <w:p w14:paraId="68B6CEFC" w14:textId="77777777" w:rsidR="00FA7D96" w:rsidRDefault="00FA7D96" w:rsidP="005945F6">
      <w:pPr>
        <w:pStyle w:val="Caption"/>
        <w:keepNext/>
        <w:jc w:val="center"/>
      </w:pPr>
      <w:bookmarkStart w:id="58" w:name="_Toc98189617"/>
      <w:r>
        <w:t xml:space="preserve">Διάγραμμα </w:t>
      </w:r>
      <w:r w:rsidR="0059099F">
        <w:fldChar w:fldCharType="begin"/>
      </w:r>
      <w:r w:rsidR="0059099F">
        <w:instrText xml:space="preserve"> SEQ Διάγραμμα \* ARABIC </w:instrText>
      </w:r>
      <w:r w:rsidR="0059099F">
        <w:fldChar w:fldCharType="separate"/>
      </w:r>
      <w:r>
        <w:rPr>
          <w:noProof/>
        </w:rPr>
        <w:t>4</w:t>
      </w:r>
      <w:r w:rsidR="0059099F">
        <w:rPr>
          <w:noProof/>
        </w:rPr>
        <w:fldChar w:fldCharType="end"/>
      </w:r>
      <w:r w:rsidRPr="00FA7D96">
        <w:t xml:space="preserve"> Ποσοστό ανεργίας, Ελλάδα και Ευρωζώνη</w:t>
      </w:r>
      <w:bookmarkEnd w:id="58"/>
    </w:p>
    <w:tbl>
      <w:tblPr>
        <w:tblStyle w:val="TableGrid"/>
        <w:tblW w:w="8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62"/>
      </w:tblGrid>
      <w:tr w:rsidR="00646BE3" w:rsidRPr="004209C8" w14:paraId="61057C24" w14:textId="77777777" w:rsidTr="003F4366">
        <w:trPr>
          <w:trHeight w:val="270"/>
        </w:trPr>
        <w:tc>
          <w:tcPr>
            <w:tcW w:w="8501" w:type="dxa"/>
            <w:gridSpan w:val="2"/>
          </w:tcPr>
          <w:p w14:paraId="482F7E1A" w14:textId="77777777" w:rsidR="00646BE3" w:rsidRPr="004209C8" w:rsidRDefault="00646BE3" w:rsidP="003F4366">
            <w:pPr>
              <w:spacing w:line="276" w:lineRule="auto"/>
              <w:jc w:val="both"/>
              <w:rPr>
                <w:rFonts w:ascii="Calibri" w:eastAsia="Calibri" w:hAnsi="Calibri" w:cs="Times New Roman"/>
                <w:color w:val="44546A"/>
                <w:sz w:val="18"/>
                <w:szCs w:val="18"/>
              </w:rPr>
            </w:pPr>
          </w:p>
        </w:tc>
      </w:tr>
      <w:tr w:rsidR="00646BE3" w:rsidRPr="004209C8" w14:paraId="4036A54A" w14:textId="77777777" w:rsidTr="003F4366">
        <w:trPr>
          <w:trHeight w:val="270"/>
        </w:trPr>
        <w:tc>
          <w:tcPr>
            <w:tcW w:w="4239" w:type="dxa"/>
          </w:tcPr>
          <w:p w14:paraId="2A7862F9" w14:textId="77777777" w:rsidR="00646BE3" w:rsidRPr="004209C8" w:rsidRDefault="00646BE3" w:rsidP="003F4366">
            <w:pPr>
              <w:autoSpaceDE w:val="0"/>
              <w:autoSpaceDN w:val="0"/>
              <w:adjustRightInd w:val="0"/>
              <w:spacing w:line="276" w:lineRule="auto"/>
              <w:jc w:val="center"/>
              <w:rPr>
                <w:rFonts w:ascii="Calibri" w:eastAsia="Calibri" w:hAnsi="Calibri" w:cs="Times New Roman"/>
                <w:i/>
                <w:color w:val="595959"/>
                <w:sz w:val="18"/>
                <w:szCs w:val="18"/>
              </w:rPr>
            </w:pPr>
            <w:r w:rsidRPr="004209C8">
              <w:rPr>
                <w:rFonts w:ascii="Calibri" w:eastAsia="Calibri" w:hAnsi="Calibri" w:cs="Times New Roman"/>
                <w:i/>
                <w:color w:val="595959"/>
                <w:sz w:val="18"/>
                <w:szCs w:val="18"/>
              </w:rPr>
              <w:t>4Α Ανεργία στο σύνολο του πληθυσμού (15-74 ετών)</w:t>
            </w:r>
          </w:p>
        </w:tc>
        <w:tc>
          <w:tcPr>
            <w:tcW w:w="4262" w:type="dxa"/>
          </w:tcPr>
          <w:p w14:paraId="6779A187" w14:textId="77777777" w:rsidR="00646BE3" w:rsidRPr="004209C8" w:rsidRDefault="00646BE3" w:rsidP="003F4366">
            <w:pPr>
              <w:autoSpaceDE w:val="0"/>
              <w:autoSpaceDN w:val="0"/>
              <w:adjustRightInd w:val="0"/>
              <w:spacing w:line="276" w:lineRule="auto"/>
              <w:jc w:val="center"/>
              <w:rPr>
                <w:rFonts w:ascii="Calibri" w:eastAsia="Calibri" w:hAnsi="Calibri" w:cs="Times New Roman"/>
                <w:i/>
                <w:color w:val="595959"/>
                <w:sz w:val="18"/>
                <w:szCs w:val="18"/>
              </w:rPr>
            </w:pPr>
            <w:r w:rsidRPr="004209C8">
              <w:rPr>
                <w:rFonts w:ascii="Calibri" w:eastAsia="Calibri" w:hAnsi="Calibri" w:cs="Times New Roman"/>
                <w:i/>
                <w:color w:val="595959"/>
                <w:sz w:val="18"/>
                <w:szCs w:val="18"/>
              </w:rPr>
              <w:t>4Β Ανεργία στους νέους (15-24 ετών)</w:t>
            </w:r>
          </w:p>
        </w:tc>
      </w:tr>
      <w:tr w:rsidR="00646BE3" w:rsidRPr="004209C8" w14:paraId="64B1C987" w14:textId="77777777" w:rsidTr="003F4366">
        <w:trPr>
          <w:trHeight w:val="3044"/>
        </w:trPr>
        <w:tc>
          <w:tcPr>
            <w:tcW w:w="4239" w:type="dxa"/>
          </w:tcPr>
          <w:p w14:paraId="0B6FDB48" w14:textId="77777777" w:rsidR="00646BE3" w:rsidRPr="001B495A" w:rsidRDefault="00646BE3" w:rsidP="003F4366">
            <w:pPr>
              <w:autoSpaceDE w:val="0"/>
              <w:autoSpaceDN w:val="0"/>
              <w:adjustRightInd w:val="0"/>
              <w:spacing w:before="240" w:line="276" w:lineRule="auto"/>
              <w:jc w:val="center"/>
              <w:rPr>
                <w:rFonts w:ascii="Calibri" w:eastAsia="Calibri" w:hAnsi="Calibri" w:cs="Times New Roman"/>
                <w:color w:val="595959"/>
                <w:lang w:val="en-US"/>
              </w:rPr>
            </w:pPr>
            <w:r>
              <w:rPr>
                <w:rFonts w:ascii="Calibri" w:eastAsia="Calibri" w:hAnsi="Calibri" w:cs="Times New Roman"/>
                <w:noProof/>
                <w:color w:val="595959"/>
                <w:lang w:val="en-US"/>
              </w:rPr>
              <w:drawing>
                <wp:inline distT="0" distB="0" distL="0" distR="0" wp14:anchorId="77B5CB3A" wp14:editId="14426689">
                  <wp:extent cx="2034000" cy="1641600"/>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034000" cy="1641600"/>
                          </a:xfrm>
                          <a:prstGeom prst="rect">
                            <a:avLst/>
                          </a:prstGeom>
                        </pic:spPr>
                      </pic:pic>
                    </a:graphicData>
                  </a:graphic>
                </wp:inline>
              </w:drawing>
            </w:r>
          </w:p>
        </w:tc>
        <w:tc>
          <w:tcPr>
            <w:tcW w:w="4262" w:type="dxa"/>
          </w:tcPr>
          <w:p w14:paraId="5D3C1300" w14:textId="77777777" w:rsidR="00646BE3" w:rsidRPr="004209C8" w:rsidRDefault="00646BE3" w:rsidP="003F4366">
            <w:pPr>
              <w:keepNext/>
              <w:autoSpaceDE w:val="0"/>
              <w:autoSpaceDN w:val="0"/>
              <w:adjustRightInd w:val="0"/>
              <w:spacing w:before="240" w:line="276" w:lineRule="auto"/>
              <w:jc w:val="center"/>
              <w:rPr>
                <w:rFonts w:ascii="Calibri" w:eastAsia="Calibri" w:hAnsi="Calibri" w:cs="Times New Roman"/>
                <w:color w:val="595959"/>
              </w:rPr>
            </w:pPr>
            <w:r>
              <w:rPr>
                <w:rFonts w:ascii="Calibri" w:eastAsia="Calibri" w:hAnsi="Calibri" w:cs="Times New Roman"/>
                <w:noProof/>
                <w:color w:val="595959"/>
                <w:lang w:val="en-US"/>
              </w:rPr>
              <w:drawing>
                <wp:inline distT="0" distB="0" distL="0" distR="0" wp14:anchorId="52644FFD" wp14:editId="6D5D7BEB">
                  <wp:extent cx="2034000" cy="1641600"/>
                  <wp:effectExtent l="0" t="0" r="0" b="0"/>
                  <wp:docPr id="23"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034000" cy="1641600"/>
                          </a:xfrm>
                          <a:prstGeom prst="rect">
                            <a:avLst/>
                          </a:prstGeom>
                        </pic:spPr>
                      </pic:pic>
                    </a:graphicData>
                  </a:graphic>
                </wp:inline>
              </w:drawing>
            </w:r>
          </w:p>
        </w:tc>
      </w:tr>
    </w:tbl>
    <w:p w14:paraId="138D3AC7" w14:textId="77777777" w:rsidR="00646BE3" w:rsidRPr="004209C8" w:rsidRDefault="00646BE3" w:rsidP="00646BE3">
      <w:pPr>
        <w:autoSpaceDE w:val="0"/>
        <w:autoSpaceDN w:val="0"/>
        <w:adjustRightInd w:val="0"/>
        <w:spacing w:after="0" w:line="276" w:lineRule="auto"/>
        <w:jc w:val="both"/>
        <w:rPr>
          <w:color w:val="595959"/>
        </w:rPr>
      </w:pPr>
    </w:p>
    <w:p w14:paraId="2C14AC00" w14:textId="77777777" w:rsidR="00646BE3" w:rsidRPr="00665C30" w:rsidRDefault="00646BE3" w:rsidP="00646BE3">
      <w:pPr>
        <w:autoSpaceDE w:val="0"/>
        <w:autoSpaceDN w:val="0"/>
        <w:adjustRightInd w:val="0"/>
        <w:spacing w:after="0" w:line="276" w:lineRule="auto"/>
        <w:jc w:val="both"/>
        <w:rPr>
          <w:rFonts w:ascii="Calibri" w:eastAsia="Calibri" w:hAnsi="Calibri" w:cs="Times New Roman"/>
          <w:color w:val="595959" w:themeColor="text1" w:themeTint="A6"/>
        </w:rPr>
      </w:pPr>
      <w:r w:rsidRPr="006A05CF">
        <w:rPr>
          <w:rFonts w:ascii="Calibri" w:eastAsia="Calibri" w:hAnsi="Calibri" w:cs="Times New Roman"/>
          <w:color w:val="595959" w:themeColor="text1" w:themeTint="A6"/>
        </w:rPr>
        <w:t xml:space="preserve">Επιπλέον, σύμφωνα </w:t>
      </w:r>
      <w:r w:rsidRPr="0068216D">
        <w:rPr>
          <w:rFonts w:ascii="Calibri" w:eastAsia="Calibri" w:hAnsi="Calibri" w:cs="Times New Roman"/>
          <w:color w:val="595959"/>
        </w:rPr>
        <w:t xml:space="preserve">με </w:t>
      </w:r>
      <w:r w:rsidRPr="00246238">
        <w:rPr>
          <w:rFonts w:ascii="Calibri" w:eastAsia="Calibri" w:hAnsi="Calibri" w:cs="Times New Roman"/>
          <w:color w:val="595959"/>
        </w:rPr>
        <w:t xml:space="preserve">τη </w:t>
      </w:r>
      <w:hyperlink r:id="rId43" w:history="1">
        <w:r w:rsidRPr="00246238">
          <w:rPr>
            <w:rStyle w:val="Hyperlink"/>
            <w:color w:val="595959"/>
          </w:rPr>
          <w:t>Μηνιαία Έρευνα Εργατικού Δυναμικού της ΕΛΣΤΑΤ</w:t>
        </w:r>
      </w:hyperlink>
      <w:r w:rsidRPr="006A05CF">
        <w:rPr>
          <w:rFonts w:ascii="Calibri" w:eastAsia="Calibri" w:hAnsi="Calibri" w:cs="Times New Roman"/>
          <w:color w:val="595959"/>
        </w:rPr>
        <w:t>, η ανεργία των νέων κάτω των 25 ετών στην Ελ</w:t>
      </w:r>
      <w:r w:rsidRPr="006A05CF">
        <w:rPr>
          <w:rFonts w:ascii="Calibri" w:eastAsia="Calibri" w:hAnsi="Calibri" w:cs="Times New Roman"/>
          <w:color w:val="595959" w:themeColor="text1" w:themeTint="A6"/>
        </w:rPr>
        <w:t xml:space="preserve">λάδα διαμορφώθηκε σε </w:t>
      </w:r>
      <w:r>
        <w:rPr>
          <w:rFonts w:ascii="Calibri" w:eastAsia="Calibri" w:hAnsi="Calibri" w:cs="Times New Roman"/>
          <w:color w:val="595959" w:themeColor="text1" w:themeTint="A6"/>
        </w:rPr>
        <w:t>27,0</w:t>
      </w:r>
      <w:r w:rsidRPr="006A05CF">
        <w:rPr>
          <w:rFonts w:ascii="Calibri" w:eastAsia="Calibri" w:hAnsi="Calibri" w:cs="Times New Roman"/>
          <w:color w:val="595959" w:themeColor="text1" w:themeTint="A6"/>
        </w:rPr>
        <w:t xml:space="preserve">% τον </w:t>
      </w:r>
      <w:r w:rsidRPr="0068216D">
        <w:rPr>
          <w:rFonts w:ascii="Calibri" w:eastAsia="Calibri" w:hAnsi="Calibri" w:cs="Times New Roman"/>
          <w:color w:val="595959" w:themeColor="text1" w:themeTint="A6"/>
        </w:rPr>
        <w:t xml:space="preserve">Δεκέμβριο </w:t>
      </w:r>
      <w:r w:rsidRPr="006A05CF">
        <w:rPr>
          <w:rFonts w:ascii="Calibri" w:eastAsia="Calibri" w:hAnsi="Calibri" w:cs="Times New Roman"/>
          <w:color w:val="595959" w:themeColor="text1" w:themeTint="A6"/>
        </w:rPr>
        <w:t xml:space="preserve">του 2021 έναντι </w:t>
      </w:r>
      <w:r>
        <w:rPr>
          <w:rFonts w:ascii="Calibri" w:eastAsia="Calibri" w:hAnsi="Calibri" w:cs="Times New Roman"/>
          <w:color w:val="595959" w:themeColor="text1" w:themeTint="A6"/>
        </w:rPr>
        <w:t>33,5</w:t>
      </w:r>
      <w:r w:rsidRPr="006A05CF">
        <w:rPr>
          <w:rFonts w:ascii="Calibri" w:eastAsia="Calibri" w:hAnsi="Calibri" w:cs="Times New Roman"/>
          <w:color w:val="595959" w:themeColor="text1" w:themeTint="A6"/>
        </w:rPr>
        <w:t xml:space="preserve">% τον </w:t>
      </w:r>
      <w:r w:rsidRPr="0068216D">
        <w:rPr>
          <w:rFonts w:ascii="Calibri" w:eastAsia="Calibri" w:hAnsi="Calibri" w:cs="Times New Roman"/>
          <w:color w:val="595959" w:themeColor="text1" w:themeTint="A6"/>
        </w:rPr>
        <w:t xml:space="preserve">Δεκέμβριο </w:t>
      </w:r>
      <w:r w:rsidRPr="006A05CF">
        <w:rPr>
          <w:rFonts w:ascii="Calibri" w:eastAsia="Calibri" w:hAnsi="Calibri" w:cs="Times New Roman"/>
          <w:color w:val="595959" w:themeColor="text1" w:themeTint="A6"/>
        </w:rPr>
        <w:t>του 2020.</w:t>
      </w:r>
    </w:p>
    <w:p w14:paraId="30174F52" w14:textId="77777777" w:rsidR="00646BE3" w:rsidRPr="005E0FA8" w:rsidRDefault="00646BE3" w:rsidP="00646BE3">
      <w:pPr>
        <w:autoSpaceDE w:val="0"/>
        <w:autoSpaceDN w:val="0"/>
        <w:adjustRightInd w:val="0"/>
        <w:spacing w:after="0" w:line="276" w:lineRule="auto"/>
        <w:jc w:val="both"/>
        <w:rPr>
          <w:rFonts w:ascii="Calibri" w:eastAsia="Calibri" w:hAnsi="Calibri" w:cs="Times New Roman"/>
          <w:color w:val="595959"/>
        </w:rPr>
      </w:pPr>
    </w:p>
    <w:p w14:paraId="094AD608" w14:textId="77777777" w:rsidR="00646BE3" w:rsidRPr="004209C8" w:rsidRDefault="00646BE3" w:rsidP="00646BE3">
      <w:pPr>
        <w:pStyle w:val="Heading3"/>
        <w:spacing w:before="0"/>
        <w:rPr>
          <w:rFonts w:eastAsia="Times New Roman"/>
        </w:rPr>
      </w:pPr>
      <w:bookmarkStart w:id="59" w:name="_Toc90033342"/>
      <w:bookmarkStart w:id="60" w:name="_Toc98160524"/>
      <w:r w:rsidRPr="004209C8">
        <w:rPr>
          <w:rFonts w:eastAsia="Times New Roman"/>
        </w:rPr>
        <w:t>Απασχόληση</w:t>
      </w:r>
      <w:bookmarkEnd w:id="59"/>
      <w:bookmarkEnd w:id="60"/>
    </w:p>
    <w:p w14:paraId="1701B133" w14:textId="77777777" w:rsidR="00646BE3" w:rsidRPr="004209C8" w:rsidRDefault="00646BE3" w:rsidP="00646BE3">
      <w:pPr>
        <w:spacing w:after="0" w:line="276" w:lineRule="auto"/>
        <w:rPr>
          <w:color w:val="595959"/>
        </w:rPr>
      </w:pPr>
    </w:p>
    <w:p w14:paraId="36F79F29" w14:textId="77777777" w:rsidR="00646BE3" w:rsidRPr="00665C30" w:rsidRDefault="00646BE3" w:rsidP="00646BE3">
      <w:pPr>
        <w:autoSpaceDE w:val="0"/>
        <w:autoSpaceDN w:val="0"/>
        <w:adjustRightInd w:val="0"/>
        <w:spacing w:line="276" w:lineRule="auto"/>
        <w:jc w:val="both"/>
        <w:rPr>
          <w:rFonts w:ascii="Calibri" w:eastAsia="Calibri" w:hAnsi="Calibri" w:cs="Calibri"/>
          <w:color w:val="595959" w:themeColor="text1" w:themeTint="A6"/>
        </w:rPr>
      </w:pPr>
      <w:r w:rsidRPr="0068216D">
        <w:rPr>
          <w:rFonts w:ascii="Calibri" w:eastAsia="Calibri" w:hAnsi="Calibri" w:cs="Calibri"/>
          <w:color w:val="595959" w:themeColor="text1" w:themeTint="A6"/>
        </w:rPr>
        <w:t xml:space="preserve">Με </w:t>
      </w:r>
      <w:hyperlink r:id="rId44" w:history="1">
        <w:r w:rsidRPr="0068216D">
          <w:rPr>
            <w:color w:val="595959" w:themeColor="text1" w:themeTint="A6"/>
            <w:u w:val="single"/>
          </w:rPr>
          <w:t>βάση τα μηνιαία στοιχεία</w:t>
        </w:r>
      </w:hyperlink>
      <w:r w:rsidRPr="0068216D">
        <w:rPr>
          <w:color w:val="595959" w:themeColor="text1" w:themeTint="A6"/>
        </w:rPr>
        <w:t xml:space="preserve">, </w:t>
      </w:r>
      <w:r w:rsidRPr="0068216D">
        <w:rPr>
          <w:rFonts w:ascii="Calibri" w:eastAsia="Calibri" w:hAnsi="Calibri" w:cs="Calibri"/>
          <w:color w:val="595959" w:themeColor="text1" w:themeTint="A6"/>
        </w:rPr>
        <w:t xml:space="preserve">το σύνολο των απασχολούμενων τον Δεκέμβριο του 2021 ανήλθε σε 4.075.808 άτομα, αριθμός αυξημένος κατά 188.872 άτομα σε σχέση με τον </w:t>
      </w:r>
      <w:r w:rsidRPr="0068216D">
        <w:rPr>
          <w:rFonts w:ascii="Calibri" w:eastAsia="Calibri" w:hAnsi="Calibri" w:cs="Times New Roman"/>
          <w:color w:val="595959" w:themeColor="text1" w:themeTint="A6"/>
        </w:rPr>
        <w:t xml:space="preserve">Δεκέμβριο </w:t>
      </w:r>
      <w:r w:rsidRPr="0068216D">
        <w:rPr>
          <w:rFonts w:ascii="Calibri" w:eastAsia="Calibri" w:hAnsi="Calibri" w:cs="Calibri"/>
          <w:color w:val="595959" w:themeColor="text1" w:themeTint="A6"/>
        </w:rPr>
        <w:t>του 2020 (αύξηση 4,9%) και μειωμένος κατά 11.908 άτομα σε σχέση με τον Νοέμβριο του 2021 (μείωση 0,3%).</w:t>
      </w:r>
    </w:p>
    <w:p w14:paraId="54A1B31F" w14:textId="77777777" w:rsidR="00646BE3" w:rsidRDefault="00646BE3" w:rsidP="00646BE3">
      <w:pPr>
        <w:autoSpaceDE w:val="0"/>
        <w:autoSpaceDN w:val="0"/>
        <w:adjustRightInd w:val="0"/>
        <w:spacing w:after="0" w:line="276" w:lineRule="auto"/>
        <w:jc w:val="both"/>
        <w:rPr>
          <w:rFonts w:ascii="Calibri" w:eastAsia="Calibri" w:hAnsi="Calibri" w:cs="Calibri"/>
          <w:color w:val="595959" w:themeColor="text1" w:themeTint="A6"/>
        </w:rPr>
      </w:pPr>
      <w:r>
        <w:rPr>
          <w:rFonts w:ascii="Calibri" w:eastAsia="Calibri" w:hAnsi="Calibri" w:cs="Calibri"/>
          <w:color w:val="595959" w:themeColor="text1" w:themeTint="A6"/>
        </w:rPr>
        <w:t xml:space="preserve">Η </w:t>
      </w:r>
      <w:hyperlink r:id="rId45" w:history="1">
        <w:r w:rsidRPr="00665C30">
          <w:rPr>
            <w:rFonts w:ascii="Calibri" w:eastAsia="Calibri" w:hAnsi="Calibri" w:cs="Calibri"/>
            <w:color w:val="595959" w:themeColor="text1" w:themeTint="A6"/>
            <w:u w:val="single"/>
          </w:rPr>
          <w:t>μερική απασχόληση</w:t>
        </w:r>
      </w:hyperlink>
      <w:r w:rsidRPr="00665C30">
        <w:rPr>
          <w:rFonts w:ascii="Calibri" w:eastAsia="Calibri" w:hAnsi="Calibri" w:cs="Calibri"/>
          <w:color w:val="595959" w:themeColor="text1" w:themeTint="A6"/>
        </w:rPr>
        <w:t xml:space="preserve"> </w:t>
      </w:r>
      <w:r>
        <w:rPr>
          <w:rFonts w:ascii="Calibri" w:eastAsia="Calibri" w:hAnsi="Calibri" w:cs="Calibri"/>
          <w:color w:val="595959" w:themeColor="text1" w:themeTint="A6"/>
        </w:rPr>
        <w:t xml:space="preserve">κατά το τρίτο τρίμηνο του 2021, </w:t>
      </w:r>
      <w:r w:rsidRPr="00665C30">
        <w:rPr>
          <w:rFonts w:ascii="Calibri" w:eastAsia="Calibri" w:hAnsi="Calibri" w:cs="Calibri"/>
          <w:color w:val="595959" w:themeColor="text1" w:themeTint="A6"/>
        </w:rPr>
        <w:t xml:space="preserve">διαμορφώθηκε στο </w:t>
      </w:r>
      <w:r>
        <w:rPr>
          <w:rFonts w:ascii="Calibri" w:eastAsia="Calibri" w:hAnsi="Calibri" w:cs="Calibri"/>
          <w:color w:val="595959" w:themeColor="text1" w:themeTint="A6"/>
        </w:rPr>
        <w:t>8,0</w:t>
      </w:r>
      <w:r w:rsidRPr="00665C30">
        <w:rPr>
          <w:rFonts w:ascii="Calibri" w:eastAsia="Calibri" w:hAnsi="Calibri" w:cs="Calibri"/>
          <w:color w:val="595959" w:themeColor="text1" w:themeTint="A6"/>
        </w:rPr>
        <w:t xml:space="preserve">% του συνόλου της απασχόλησης (έναντι </w:t>
      </w:r>
      <w:r>
        <w:rPr>
          <w:rFonts w:ascii="Calibri" w:eastAsia="Calibri" w:hAnsi="Calibri" w:cs="Calibri"/>
          <w:color w:val="595959" w:themeColor="text1" w:themeTint="A6"/>
        </w:rPr>
        <w:t>8,1</w:t>
      </w:r>
      <w:r w:rsidRPr="00665C30">
        <w:rPr>
          <w:rFonts w:ascii="Calibri" w:eastAsia="Calibri" w:hAnsi="Calibri" w:cs="Calibri"/>
          <w:color w:val="595959" w:themeColor="text1" w:themeTint="A6"/>
        </w:rPr>
        <w:t xml:space="preserve">% </w:t>
      </w:r>
      <w:r>
        <w:rPr>
          <w:rFonts w:ascii="Calibri" w:eastAsia="Calibri" w:hAnsi="Calibri" w:cs="Calibri"/>
          <w:color w:val="595959" w:themeColor="text1" w:themeTint="A6"/>
        </w:rPr>
        <w:t>στο τρίτο</w:t>
      </w:r>
      <w:r w:rsidRPr="00BA6294">
        <w:rPr>
          <w:rFonts w:ascii="Calibri" w:eastAsia="Calibri" w:hAnsi="Calibri" w:cs="Calibri"/>
          <w:color w:val="595959" w:themeColor="text1" w:themeTint="A6"/>
        </w:rPr>
        <w:t xml:space="preserve"> </w:t>
      </w:r>
      <w:r w:rsidRPr="00665C30">
        <w:rPr>
          <w:rFonts w:ascii="Calibri" w:eastAsia="Calibri" w:hAnsi="Calibri" w:cs="Calibri"/>
          <w:color w:val="595959" w:themeColor="text1" w:themeTint="A6"/>
        </w:rPr>
        <w:t xml:space="preserve">τρίμηνο του 2020) </w:t>
      </w:r>
      <w:r w:rsidRPr="00665C30">
        <w:rPr>
          <w:color w:val="595959" w:themeColor="text1" w:themeTint="A6"/>
        </w:rPr>
        <w:t>ενώ το αντίστοιχο ποσοστό στην Ευρωζώνη είναι 2</w:t>
      </w:r>
      <w:r>
        <w:rPr>
          <w:color w:val="595959" w:themeColor="text1" w:themeTint="A6"/>
        </w:rPr>
        <w:t>0,7</w:t>
      </w:r>
      <w:r w:rsidRPr="00665C30">
        <w:rPr>
          <w:color w:val="595959" w:themeColor="text1" w:themeTint="A6"/>
        </w:rPr>
        <w:t>% (έναντι 21,</w:t>
      </w:r>
      <w:r>
        <w:rPr>
          <w:color w:val="595959" w:themeColor="text1" w:themeTint="A6"/>
        </w:rPr>
        <w:t>2</w:t>
      </w:r>
      <w:r w:rsidRPr="00665C30">
        <w:rPr>
          <w:color w:val="595959" w:themeColor="text1" w:themeTint="A6"/>
        </w:rPr>
        <w:t>% πέρσι).</w:t>
      </w:r>
      <w:r w:rsidRPr="00665C30">
        <w:rPr>
          <w:rFonts w:ascii="Calibri" w:eastAsia="Calibri" w:hAnsi="Calibri" w:cs="Calibri"/>
          <w:color w:val="595959" w:themeColor="text1" w:themeTint="A6"/>
        </w:rPr>
        <w:t xml:space="preserve"> Η </w:t>
      </w:r>
      <w:hyperlink r:id="rId46" w:history="1">
        <w:r w:rsidRPr="00665C30">
          <w:rPr>
            <w:rFonts w:ascii="Calibri" w:eastAsia="Calibri" w:hAnsi="Calibri" w:cs="Calibri"/>
            <w:color w:val="595959" w:themeColor="text1" w:themeTint="A6"/>
            <w:u w:val="single"/>
          </w:rPr>
          <w:t>προσωρινή απασχόληση</w:t>
        </w:r>
      </w:hyperlink>
      <w:r w:rsidRPr="00665C30">
        <w:rPr>
          <w:rFonts w:ascii="Calibri" w:eastAsia="Calibri" w:hAnsi="Calibri" w:cs="Calibri"/>
          <w:color w:val="595959" w:themeColor="text1" w:themeTint="A6"/>
        </w:rPr>
        <w:t xml:space="preserve"> αντιστοιχούσε στο </w:t>
      </w:r>
      <w:r>
        <w:rPr>
          <w:rFonts w:ascii="Calibri" w:eastAsia="Calibri" w:hAnsi="Calibri" w:cs="Calibri"/>
          <w:color w:val="595959" w:themeColor="text1" w:themeTint="A6"/>
        </w:rPr>
        <w:t>11,8</w:t>
      </w:r>
      <w:r w:rsidRPr="00665C30">
        <w:rPr>
          <w:rFonts w:ascii="Calibri" w:eastAsia="Calibri" w:hAnsi="Calibri" w:cs="Calibri"/>
          <w:color w:val="595959" w:themeColor="text1" w:themeTint="A6"/>
        </w:rPr>
        <w:t>% του συνόλου των μισθωτών (έναντι 10,</w:t>
      </w:r>
      <w:r>
        <w:rPr>
          <w:rFonts w:ascii="Calibri" w:eastAsia="Calibri" w:hAnsi="Calibri" w:cs="Calibri"/>
          <w:color w:val="595959" w:themeColor="text1" w:themeTint="A6"/>
        </w:rPr>
        <w:t>5</w:t>
      </w:r>
      <w:r w:rsidRPr="00665C30">
        <w:rPr>
          <w:rFonts w:ascii="Calibri" w:eastAsia="Calibri" w:hAnsi="Calibri" w:cs="Calibri"/>
          <w:color w:val="595959" w:themeColor="text1" w:themeTint="A6"/>
        </w:rPr>
        <w:t xml:space="preserve">% στο </w:t>
      </w:r>
      <w:r w:rsidRPr="00953CF1">
        <w:rPr>
          <w:rFonts w:ascii="Calibri" w:eastAsia="Calibri" w:hAnsi="Calibri" w:cs="Calibri"/>
          <w:color w:val="595959" w:themeColor="text1" w:themeTint="A6"/>
        </w:rPr>
        <w:t xml:space="preserve">τρίτο </w:t>
      </w:r>
      <w:r w:rsidRPr="00665C30">
        <w:rPr>
          <w:rFonts w:ascii="Calibri" w:eastAsia="Calibri" w:hAnsi="Calibri" w:cs="Calibri"/>
          <w:color w:val="595959" w:themeColor="text1" w:themeTint="A6"/>
        </w:rPr>
        <w:t xml:space="preserve">τρίμηνο του 2020) </w:t>
      </w:r>
      <w:r w:rsidRPr="00665C30">
        <w:rPr>
          <w:color w:val="595959" w:themeColor="text1" w:themeTint="A6"/>
        </w:rPr>
        <w:t xml:space="preserve">ενώ στην Ευρωζώνη διαμορφώθηκε στο </w:t>
      </w:r>
      <w:r>
        <w:rPr>
          <w:color w:val="595959" w:themeColor="text1" w:themeTint="A6"/>
        </w:rPr>
        <w:t>15,7</w:t>
      </w:r>
      <w:r w:rsidRPr="00665C30">
        <w:rPr>
          <w:color w:val="595959" w:themeColor="text1" w:themeTint="A6"/>
        </w:rPr>
        <w:t xml:space="preserve">% (έναντι </w:t>
      </w:r>
      <w:r>
        <w:rPr>
          <w:color w:val="595959" w:themeColor="text1" w:themeTint="A6"/>
        </w:rPr>
        <w:t>14,3</w:t>
      </w:r>
      <w:r w:rsidRPr="00665C30">
        <w:rPr>
          <w:color w:val="595959" w:themeColor="text1" w:themeTint="A6"/>
        </w:rPr>
        <w:t>% το προηγούμενο έτος)</w:t>
      </w:r>
      <w:r w:rsidRPr="00665C30">
        <w:rPr>
          <w:rFonts w:ascii="Calibri" w:eastAsia="Calibri" w:hAnsi="Calibri" w:cs="Calibri"/>
          <w:color w:val="595959" w:themeColor="text1" w:themeTint="A6"/>
        </w:rPr>
        <w:t>.</w:t>
      </w:r>
    </w:p>
    <w:p w14:paraId="5A619430" w14:textId="77777777" w:rsidR="008A6A8A" w:rsidRDefault="008A6A8A" w:rsidP="00646BE3">
      <w:pPr>
        <w:autoSpaceDE w:val="0"/>
        <w:autoSpaceDN w:val="0"/>
        <w:adjustRightInd w:val="0"/>
        <w:spacing w:after="0" w:line="276" w:lineRule="auto"/>
        <w:jc w:val="both"/>
        <w:rPr>
          <w:rFonts w:ascii="Calibri" w:eastAsia="Calibri" w:hAnsi="Calibri" w:cs="Calibri"/>
          <w:color w:val="595959" w:themeColor="text1" w:themeTint="A6"/>
        </w:rPr>
      </w:pPr>
    </w:p>
    <w:p w14:paraId="6C7ECCCD" w14:textId="77777777" w:rsidR="008A6A8A" w:rsidRDefault="008A6A8A" w:rsidP="00646BE3">
      <w:pPr>
        <w:autoSpaceDE w:val="0"/>
        <w:autoSpaceDN w:val="0"/>
        <w:adjustRightInd w:val="0"/>
        <w:spacing w:after="0" w:line="276" w:lineRule="auto"/>
        <w:jc w:val="both"/>
        <w:rPr>
          <w:rFonts w:ascii="Calibri" w:eastAsia="Calibri" w:hAnsi="Calibri" w:cs="Calibri"/>
          <w:color w:val="595959" w:themeColor="text1" w:themeTint="A6"/>
        </w:rPr>
      </w:pPr>
    </w:p>
    <w:p w14:paraId="5783CCBB" w14:textId="77777777" w:rsidR="008A6A8A" w:rsidRPr="00665C30" w:rsidRDefault="008A6A8A" w:rsidP="00646BE3">
      <w:pPr>
        <w:autoSpaceDE w:val="0"/>
        <w:autoSpaceDN w:val="0"/>
        <w:adjustRightInd w:val="0"/>
        <w:spacing w:after="0" w:line="276" w:lineRule="auto"/>
        <w:jc w:val="both"/>
        <w:rPr>
          <w:rFonts w:ascii="Calibri" w:eastAsia="Calibri" w:hAnsi="Calibri" w:cs="Calibri"/>
          <w:color w:val="595959" w:themeColor="text1" w:themeTint="A6"/>
        </w:rPr>
      </w:pPr>
    </w:p>
    <w:p w14:paraId="7652104D" w14:textId="77777777" w:rsidR="00646BE3" w:rsidRPr="004209C8" w:rsidRDefault="00646BE3" w:rsidP="00646BE3">
      <w:pPr>
        <w:autoSpaceDE w:val="0"/>
        <w:autoSpaceDN w:val="0"/>
        <w:adjustRightInd w:val="0"/>
        <w:spacing w:after="0" w:line="276" w:lineRule="auto"/>
        <w:jc w:val="both"/>
        <w:rPr>
          <w:rFonts w:ascii="Calibri" w:eastAsia="Calibri" w:hAnsi="Calibri" w:cs="Calibri"/>
          <w:color w:val="595959"/>
        </w:rPr>
      </w:pPr>
    </w:p>
    <w:p w14:paraId="4548492B" w14:textId="77777777" w:rsidR="00646BE3" w:rsidRPr="003D02EE" w:rsidRDefault="00646BE3" w:rsidP="00646BE3">
      <w:pPr>
        <w:pStyle w:val="Heading3"/>
        <w:spacing w:before="0"/>
        <w:rPr>
          <w:rFonts w:eastAsia="Times New Roman"/>
        </w:rPr>
      </w:pPr>
      <w:bookmarkStart w:id="61" w:name="_Toc90033343"/>
      <w:bookmarkStart w:id="62" w:name="_Toc98160525"/>
      <w:r w:rsidRPr="004209C8">
        <w:rPr>
          <w:rFonts w:eastAsia="Times New Roman"/>
        </w:rPr>
        <w:lastRenderedPageBreak/>
        <w:t>Ροές μισθωτής εργασίας</w:t>
      </w:r>
      <w:bookmarkEnd w:id="61"/>
      <w:bookmarkEnd w:id="62"/>
    </w:p>
    <w:p w14:paraId="012BBF61" w14:textId="77777777" w:rsidR="00646BE3" w:rsidRPr="004209C8" w:rsidRDefault="00646BE3" w:rsidP="00646BE3">
      <w:pPr>
        <w:spacing w:after="0" w:line="276" w:lineRule="auto"/>
        <w:jc w:val="both"/>
        <w:rPr>
          <w:rFonts w:ascii="Calibri" w:eastAsia="Calibri" w:hAnsi="Calibri" w:cs="Times New Roman"/>
          <w:color w:val="595959"/>
        </w:rPr>
      </w:pPr>
    </w:p>
    <w:p w14:paraId="0659AE07" w14:textId="77777777" w:rsidR="00646BE3" w:rsidRDefault="00646BE3" w:rsidP="00646BE3">
      <w:pPr>
        <w:spacing w:after="0" w:line="276" w:lineRule="auto"/>
        <w:jc w:val="both"/>
      </w:pPr>
      <w:r w:rsidRPr="00081707">
        <w:rPr>
          <w:rFonts w:ascii="Calibri" w:eastAsia="Calibri" w:hAnsi="Calibri" w:cs="Calibri"/>
          <w:color w:val="595959"/>
        </w:rPr>
        <w:t xml:space="preserve">Σύμφωνα με τα στοιχεία του </w:t>
      </w:r>
      <w:hyperlink r:id="rId47" w:history="1">
        <w:r w:rsidRPr="00411572">
          <w:rPr>
            <w:rStyle w:val="Hyperlink"/>
            <w:rFonts w:ascii="Calibri" w:eastAsia="Calibri" w:hAnsi="Calibri" w:cs="Calibri"/>
            <w:color w:val="595959"/>
          </w:rPr>
          <w:t>Υπουργείου Εργασίας που τηρούνται στο σύστημα ΕΡΓΑΝΗ</w:t>
        </w:r>
      </w:hyperlink>
      <w:r w:rsidRPr="00700198">
        <w:rPr>
          <w:rFonts w:ascii="Calibri" w:eastAsia="Calibri" w:hAnsi="Calibri" w:cs="Calibri"/>
          <w:color w:val="595959"/>
        </w:rPr>
        <w:t>, τ</w:t>
      </w:r>
      <w:r w:rsidRPr="00081707">
        <w:rPr>
          <w:rFonts w:ascii="Calibri" w:eastAsia="Calibri" w:hAnsi="Calibri" w:cs="Calibri"/>
          <w:color w:val="595959"/>
        </w:rPr>
        <w:t>ο</w:t>
      </w:r>
      <w:r>
        <w:rPr>
          <w:rFonts w:ascii="Calibri" w:eastAsia="Calibri" w:hAnsi="Calibri" w:cs="Calibri"/>
          <w:color w:val="595959"/>
        </w:rPr>
        <w:t>ν</w:t>
      </w:r>
      <w:r w:rsidRPr="00081707">
        <w:rPr>
          <w:rFonts w:ascii="Calibri" w:eastAsia="Calibri" w:hAnsi="Calibri" w:cs="Calibri"/>
          <w:color w:val="595959"/>
        </w:rPr>
        <w:t xml:space="preserve"> </w:t>
      </w:r>
      <w:bookmarkStart w:id="63" w:name="_Hlk96385518"/>
      <w:r w:rsidRPr="00081707">
        <w:rPr>
          <w:rFonts w:ascii="Calibri" w:eastAsia="Calibri" w:hAnsi="Calibri" w:cs="Calibri"/>
          <w:color w:val="595959"/>
        </w:rPr>
        <w:t>Ιανουάριο</w:t>
      </w:r>
      <w:bookmarkEnd w:id="63"/>
      <w:r w:rsidRPr="00081707">
        <w:rPr>
          <w:rFonts w:ascii="Calibri" w:eastAsia="Calibri" w:hAnsi="Calibri" w:cs="Calibri"/>
          <w:color w:val="595959"/>
        </w:rPr>
        <w:t xml:space="preserve"> του 202</w:t>
      </w:r>
      <w:r>
        <w:rPr>
          <w:rFonts w:ascii="Calibri" w:eastAsia="Calibri" w:hAnsi="Calibri" w:cs="Calibri"/>
          <w:color w:val="595959"/>
        </w:rPr>
        <w:t>2</w:t>
      </w:r>
      <w:r w:rsidRPr="00081707">
        <w:rPr>
          <w:rFonts w:ascii="Calibri" w:eastAsia="Calibri" w:hAnsi="Calibri" w:cs="Calibri"/>
          <w:color w:val="595959"/>
        </w:rPr>
        <w:t xml:space="preserve"> καταγράφηκαν </w:t>
      </w:r>
      <w:r w:rsidRPr="00D75881">
        <w:rPr>
          <w:rFonts w:ascii="Calibri" w:eastAsia="Calibri" w:hAnsi="Calibri" w:cs="Calibri"/>
          <w:color w:val="595959"/>
        </w:rPr>
        <w:t xml:space="preserve">137.983 </w:t>
      </w:r>
      <w:r w:rsidRPr="00081707">
        <w:rPr>
          <w:rFonts w:ascii="Calibri" w:eastAsia="Calibri" w:hAnsi="Calibri" w:cs="Calibri"/>
          <w:color w:val="595959"/>
        </w:rPr>
        <w:t xml:space="preserve">προσλήψεις και </w:t>
      </w:r>
      <w:r w:rsidRPr="00D75881">
        <w:rPr>
          <w:rFonts w:ascii="Calibri" w:eastAsia="Calibri" w:hAnsi="Calibri" w:cs="Calibri"/>
          <w:color w:val="595959"/>
        </w:rPr>
        <w:t>163.787</w:t>
      </w:r>
      <w:r>
        <w:rPr>
          <w:rFonts w:ascii="Calibri" w:eastAsia="Calibri" w:hAnsi="Calibri" w:cs="Calibri"/>
          <w:color w:val="595959"/>
        </w:rPr>
        <w:t xml:space="preserve"> </w:t>
      </w:r>
      <w:r w:rsidRPr="00081707">
        <w:rPr>
          <w:rFonts w:ascii="Calibri" w:eastAsia="Calibri" w:hAnsi="Calibri" w:cs="Calibri"/>
          <w:color w:val="595959"/>
        </w:rPr>
        <w:t xml:space="preserve">αποχωρήσεις διαμορφώνοντας ένα </w:t>
      </w:r>
      <w:r>
        <w:rPr>
          <w:rFonts w:ascii="Calibri" w:eastAsia="Calibri" w:hAnsi="Calibri" w:cs="Calibri"/>
          <w:color w:val="595959"/>
        </w:rPr>
        <w:t>αρνητικό</w:t>
      </w:r>
      <w:r w:rsidRPr="00081707">
        <w:rPr>
          <w:rFonts w:ascii="Calibri" w:eastAsia="Calibri" w:hAnsi="Calibri" w:cs="Calibri"/>
          <w:color w:val="595959"/>
        </w:rPr>
        <w:t xml:space="preserve"> ισοζύγιο </w:t>
      </w:r>
      <w:r>
        <w:rPr>
          <w:rFonts w:ascii="Calibri" w:eastAsia="Calibri" w:hAnsi="Calibri" w:cs="Calibri"/>
          <w:color w:val="595959"/>
        </w:rPr>
        <w:t>2</w:t>
      </w:r>
      <w:r w:rsidRPr="00D75881">
        <w:rPr>
          <w:rFonts w:ascii="Calibri" w:eastAsia="Calibri" w:hAnsi="Calibri" w:cs="Calibri"/>
          <w:color w:val="595959"/>
        </w:rPr>
        <w:t xml:space="preserve">5.804 </w:t>
      </w:r>
      <w:r w:rsidRPr="00081707">
        <w:rPr>
          <w:rFonts w:ascii="Calibri" w:eastAsia="Calibri" w:hAnsi="Calibri" w:cs="Calibri"/>
          <w:color w:val="595959"/>
        </w:rPr>
        <w:t xml:space="preserve">θέσεων μισθωτής εργασίας (από θετικό ισοζύγιο </w:t>
      </w:r>
      <w:r w:rsidRPr="00D75881">
        <w:rPr>
          <w:rFonts w:ascii="Calibri" w:eastAsia="Calibri" w:hAnsi="Calibri" w:cs="Calibri"/>
          <w:color w:val="595959"/>
        </w:rPr>
        <w:t xml:space="preserve">2.338 </w:t>
      </w:r>
      <w:r w:rsidRPr="00081707">
        <w:rPr>
          <w:rFonts w:ascii="Calibri" w:eastAsia="Calibri" w:hAnsi="Calibri" w:cs="Calibri"/>
          <w:color w:val="595959"/>
        </w:rPr>
        <w:t>την αντίστοιχη περίοδο του 202</w:t>
      </w:r>
      <w:r>
        <w:rPr>
          <w:rFonts w:ascii="Calibri" w:eastAsia="Calibri" w:hAnsi="Calibri" w:cs="Calibri"/>
          <w:color w:val="595959"/>
        </w:rPr>
        <w:t>1</w:t>
      </w:r>
      <w:r w:rsidRPr="00081707">
        <w:rPr>
          <w:rFonts w:ascii="Calibri" w:eastAsia="Calibri" w:hAnsi="Calibri" w:cs="Calibri"/>
          <w:color w:val="595959"/>
        </w:rPr>
        <w:t xml:space="preserve">). Η </w:t>
      </w:r>
      <w:r>
        <w:rPr>
          <w:rFonts w:ascii="Calibri" w:eastAsia="Calibri" w:hAnsi="Calibri" w:cs="Calibri"/>
          <w:color w:val="595959"/>
        </w:rPr>
        <w:t>επιδείνωση</w:t>
      </w:r>
      <w:r w:rsidRPr="00081707">
        <w:rPr>
          <w:rFonts w:ascii="Calibri" w:eastAsia="Calibri" w:hAnsi="Calibri" w:cs="Calibri"/>
          <w:color w:val="595959"/>
        </w:rPr>
        <w:t xml:space="preserve"> στις ροές της αγοράς </w:t>
      </w:r>
      <w:r w:rsidRPr="00411572">
        <w:rPr>
          <w:rFonts w:ascii="Calibri" w:eastAsia="Calibri" w:hAnsi="Calibri" w:cs="Calibri"/>
          <w:color w:val="595959"/>
        </w:rPr>
        <w:t>εργασίας</w:t>
      </w:r>
      <w:r w:rsidRPr="00081707">
        <w:rPr>
          <w:rFonts w:ascii="Calibri" w:eastAsia="Calibri" w:hAnsi="Calibri" w:cs="Calibri"/>
          <w:color w:val="595959"/>
        </w:rPr>
        <w:t xml:space="preserve"> κατά </w:t>
      </w:r>
      <w:r w:rsidRPr="00D75881">
        <w:rPr>
          <w:rFonts w:ascii="Calibri" w:eastAsia="Calibri" w:hAnsi="Calibri" w:cs="Calibri"/>
          <w:color w:val="595959"/>
        </w:rPr>
        <w:t xml:space="preserve">28.142 </w:t>
      </w:r>
      <w:r w:rsidRPr="00081707">
        <w:rPr>
          <w:rFonts w:ascii="Calibri" w:eastAsia="Calibri" w:hAnsi="Calibri" w:cs="Calibri"/>
          <w:color w:val="595959"/>
        </w:rPr>
        <w:t xml:space="preserve">θέσεις εργασίας οφείλεται </w:t>
      </w:r>
      <w:r>
        <w:rPr>
          <w:rFonts w:ascii="Calibri" w:eastAsia="Calibri" w:hAnsi="Calibri" w:cs="Calibri"/>
          <w:color w:val="595959"/>
        </w:rPr>
        <w:t>σ</w:t>
      </w:r>
      <w:r w:rsidRPr="00081707">
        <w:rPr>
          <w:rFonts w:ascii="Calibri" w:eastAsia="Calibri" w:hAnsi="Calibri" w:cs="Calibri"/>
          <w:color w:val="595959"/>
        </w:rPr>
        <w:t>τη</w:t>
      </w:r>
      <w:r>
        <w:rPr>
          <w:rFonts w:ascii="Calibri" w:eastAsia="Calibri" w:hAnsi="Calibri" w:cs="Calibri"/>
          <w:color w:val="595959"/>
        </w:rPr>
        <w:t>ν</w:t>
      </w:r>
      <w:r w:rsidRPr="00081707">
        <w:rPr>
          <w:rFonts w:ascii="Calibri" w:eastAsia="Calibri" w:hAnsi="Calibri" w:cs="Calibri"/>
          <w:color w:val="595959"/>
        </w:rPr>
        <w:t xml:space="preserve"> αύξηση των αποχωρήσεων (</w:t>
      </w:r>
      <w:r w:rsidRPr="00D75881">
        <w:rPr>
          <w:rFonts w:ascii="Calibri" w:eastAsia="Calibri" w:hAnsi="Calibri" w:cs="Calibri"/>
          <w:color w:val="595959"/>
        </w:rPr>
        <w:t xml:space="preserve">69.257 </w:t>
      </w:r>
      <w:r w:rsidRPr="00081707">
        <w:rPr>
          <w:rFonts w:ascii="Calibri" w:eastAsia="Calibri" w:hAnsi="Calibri" w:cs="Calibri"/>
          <w:color w:val="595959"/>
        </w:rPr>
        <w:t>περισσότερες από το προηγούμενο έτος)</w:t>
      </w:r>
      <w:r>
        <w:rPr>
          <w:rFonts w:ascii="Calibri" w:eastAsia="Calibri" w:hAnsi="Calibri" w:cs="Calibri"/>
          <w:color w:val="595959"/>
        </w:rPr>
        <w:t xml:space="preserve"> η οποία δεν αντισταθμίστηκε από την</w:t>
      </w:r>
      <w:r w:rsidRPr="00081707">
        <w:rPr>
          <w:rFonts w:ascii="Calibri" w:eastAsia="Calibri" w:hAnsi="Calibri" w:cs="Calibri"/>
          <w:color w:val="595959"/>
        </w:rPr>
        <w:t xml:space="preserve"> αύξηση των προσλήψεων (</w:t>
      </w:r>
      <w:r w:rsidRPr="00D75881">
        <w:rPr>
          <w:rFonts w:ascii="Calibri" w:eastAsia="Calibri" w:hAnsi="Calibri" w:cs="Calibri"/>
          <w:color w:val="595959"/>
        </w:rPr>
        <w:t xml:space="preserve">41.115 </w:t>
      </w:r>
      <w:r w:rsidRPr="00081707">
        <w:rPr>
          <w:rFonts w:ascii="Calibri" w:eastAsia="Calibri" w:hAnsi="Calibri" w:cs="Calibri"/>
          <w:color w:val="595959"/>
        </w:rPr>
        <w:t>περισσότερες από το προηγούμενο έτος)</w:t>
      </w:r>
      <w:r>
        <w:rPr>
          <w:rFonts w:ascii="Calibri" w:eastAsia="Calibri" w:hAnsi="Calibri" w:cs="Calibri"/>
          <w:color w:val="595959"/>
        </w:rPr>
        <w:t xml:space="preserve">. </w:t>
      </w:r>
      <w:r w:rsidRPr="00081707">
        <w:rPr>
          <w:rFonts w:ascii="Calibri" w:eastAsia="Calibri" w:hAnsi="Calibri" w:cs="Calibri"/>
          <w:color w:val="595959"/>
        </w:rPr>
        <w:t xml:space="preserve">Η μερική (και εκ περιτροπής) </w:t>
      </w:r>
      <w:r w:rsidRPr="00953CF1">
        <w:rPr>
          <w:rFonts w:ascii="Calibri" w:eastAsia="Calibri" w:hAnsi="Calibri" w:cs="Calibri"/>
          <w:color w:val="595959"/>
        </w:rPr>
        <w:t>απασχόληση αντιστοιχούσε στο 38,9% των νέων προσλήψεων</w:t>
      </w:r>
      <w:r w:rsidR="002E462B">
        <w:rPr>
          <w:rFonts w:ascii="Calibri" w:eastAsia="Calibri" w:hAnsi="Calibri" w:cs="Calibri"/>
          <w:color w:val="595959"/>
        </w:rPr>
        <w:t xml:space="preserve"> τον</w:t>
      </w:r>
      <w:r w:rsidRPr="00953CF1">
        <w:rPr>
          <w:rFonts w:ascii="Calibri" w:eastAsia="Calibri" w:hAnsi="Calibri" w:cs="Calibri"/>
          <w:color w:val="595959"/>
        </w:rPr>
        <w:t xml:space="preserve"> Ιανουάριο του 2022, αυξημένη σε σχέση με </w:t>
      </w:r>
      <w:hyperlink r:id="rId48" w:history="1">
        <w:r w:rsidRPr="00953CF1">
          <w:rPr>
            <w:rStyle w:val="Hyperlink"/>
            <w:color w:val="595959"/>
          </w:rPr>
          <w:t>τ</w:t>
        </w:r>
        <w:r w:rsidR="002E462B">
          <w:rPr>
            <w:rStyle w:val="Hyperlink"/>
            <w:color w:val="595959"/>
          </w:rPr>
          <w:t>ον</w:t>
        </w:r>
        <w:r w:rsidRPr="00953CF1">
          <w:rPr>
            <w:rStyle w:val="Hyperlink"/>
            <w:color w:val="595959"/>
          </w:rPr>
          <w:t xml:space="preserve"> αντίστοιχο μήνα του 2021</w:t>
        </w:r>
      </w:hyperlink>
      <w:r w:rsidRPr="00953CF1">
        <w:rPr>
          <w:rFonts w:ascii="Calibri" w:eastAsia="Calibri" w:hAnsi="Calibri" w:cs="Calibri"/>
          <w:color w:val="595959"/>
        </w:rPr>
        <w:t xml:space="preserve"> </w:t>
      </w:r>
      <w:r w:rsidRPr="00081707">
        <w:rPr>
          <w:rFonts w:ascii="Calibri" w:eastAsia="Calibri" w:hAnsi="Calibri" w:cs="Calibri"/>
          <w:color w:val="595959"/>
        </w:rPr>
        <w:t>(</w:t>
      </w:r>
      <w:r>
        <w:rPr>
          <w:rFonts w:ascii="Calibri" w:eastAsia="Calibri" w:hAnsi="Calibri" w:cs="Calibri"/>
          <w:color w:val="595959"/>
        </w:rPr>
        <w:t>33,1</w:t>
      </w:r>
      <w:r w:rsidRPr="00081707">
        <w:rPr>
          <w:rFonts w:ascii="Calibri" w:eastAsia="Calibri" w:hAnsi="Calibri" w:cs="Calibri"/>
          <w:color w:val="595959"/>
        </w:rPr>
        <w:t>%).</w:t>
      </w:r>
    </w:p>
    <w:p w14:paraId="39760874" w14:textId="77777777" w:rsidR="00646BE3" w:rsidRPr="004209C8" w:rsidRDefault="00646BE3" w:rsidP="00646BE3">
      <w:pPr>
        <w:autoSpaceDE w:val="0"/>
        <w:autoSpaceDN w:val="0"/>
        <w:adjustRightInd w:val="0"/>
        <w:spacing w:after="0" w:line="276" w:lineRule="auto"/>
        <w:jc w:val="both"/>
        <w:rPr>
          <w:rFonts w:ascii="Calibri" w:eastAsia="Calibri" w:hAnsi="Calibri" w:cs="Times New Roman"/>
          <w:color w:val="595959"/>
        </w:rPr>
      </w:pPr>
    </w:p>
    <w:p w14:paraId="002F1B2D" w14:textId="77777777" w:rsidR="00646BE3" w:rsidRPr="004209C8" w:rsidRDefault="00646BE3" w:rsidP="00646BE3">
      <w:pPr>
        <w:pStyle w:val="Heading3"/>
        <w:spacing w:before="0"/>
        <w:rPr>
          <w:rFonts w:eastAsia="Times New Roman"/>
        </w:rPr>
      </w:pPr>
      <w:bookmarkStart w:id="64" w:name="_Toc90033345"/>
      <w:bookmarkStart w:id="65" w:name="_Toc98160526"/>
      <w:r w:rsidRPr="004209C8">
        <w:rPr>
          <w:rFonts w:eastAsia="Times New Roman"/>
        </w:rPr>
        <w:t>Διαθέσιμο εισόδημα</w:t>
      </w:r>
      <w:bookmarkEnd w:id="64"/>
      <w:bookmarkEnd w:id="65"/>
    </w:p>
    <w:p w14:paraId="2A323716" w14:textId="77777777" w:rsidR="00646BE3" w:rsidRPr="004209C8" w:rsidRDefault="00646BE3" w:rsidP="00646BE3">
      <w:pPr>
        <w:spacing w:after="0" w:line="276" w:lineRule="auto"/>
      </w:pPr>
    </w:p>
    <w:p w14:paraId="63780123" w14:textId="77777777" w:rsidR="00646BE3" w:rsidRPr="00725B81" w:rsidRDefault="00646BE3" w:rsidP="00646BE3">
      <w:pPr>
        <w:spacing w:line="276" w:lineRule="auto"/>
        <w:jc w:val="both"/>
        <w:rPr>
          <w:rFonts w:ascii="Calibri" w:eastAsia="Times New Roman" w:hAnsi="Calibri" w:cs="Times New Roman"/>
          <w:color w:val="595959" w:themeColor="text1" w:themeTint="A6"/>
        </w:rPr>
      </w:pPr>
      <w:r w:rsidRPr="00665C30">
        <w:rPr>
          <w:rFonts w:ascii="Calibri" w:eastAsia="Calibri" w:hAnsi="Calibri" w:cs="Calibri"/>
          <w:color w:val="595959" w:themeColor="text1" w:themeTint="A6"/>
        </w:rPr>
        <w:t>Σύμφωνα</w:t>
      </w:r>
      <w:r w:rsidRPr="00665C30">
        <w:rPr>
          <w:rFonts w:ascii="Calibri" w:eastAsia="Times New Roman" w:hAnsi="Calibri" w:cs="Times New Roman"/>
          <w:color w:val="595959" w:themeColor="text1" w:themeTint="A6"/>
        </w:rPr>
        <w:t xml:space="preserve"> με τα </w:t>
      </w:r>
      <w:hyperlink r:id="rId49" w:history="1">
        <w:r w:rsidRPr="00DC16E0">
          <w:rPr>
            <w:rStyle w:val="Hyperlink"/>
            <w:rFonts w:ascii="Calibri" w:eastAsia="Calibri" w:hAnsi="Calibri" w:cs="Calibri"/>
            <w:color w:val="595959"/>
          </w:rPr>
          <w:t>προσωρινά στοιχεία</w:t>
        </w:r>
      </w:hyperlink>
      <w:r w:rsidRPr="00665C30">
        <w:rPr>
          <w:rFonts w:ascii="Calibri" w:eastAsia="Times New Roman" w:hAnsi="Calibri" w:cs="Times New Roman"/>
          <w:color w:val="595959" w:themeColor="text1" w:themeTint="A6"/>
        </w:rPr>
        <w:t xml:space="preserve"> της ΕΛΣΤΑΤ για τους τριμηνιαίους μη χρηματοοικονομικούς λογαριασμούς θεσμικών τομέων (για το </w:t>
      </w:r>
      <w:r>
        <w:rPr>
          <w:rFonts w:ascii="Calibri" w:eastAsia="Times New Roman" w:hAnsi="Calibri" w:cs="Times New Roman"/>
          <w:color w:val="595959" w:themeColor="text1" w:themeTint="A6"/>
        </w:rPr>
        <w:t>τρίτο</w:t>
      </w:r>
      <w:r w:rsidRPr="00665C30">
        <w:rPr>
          <w:rFonts w:ascii="Calibri" w:eastAsia="Calibri" w:hAnsi="Calibri" w:cs="Times New Roman"/>
          <w:color w:val="595959" w:themeColor="text1" w:themeTint="A6"/>
        </w:rPr>
        <w:t xml:space="preserve"> </w:t>
      </w:r>
      <w:r w:rsidRPr="00665C30">
        <w:rPr>
          <w:rFonts w:ascii="Calibri" w:eastAsia="Times New Roman" w:hAnsi="Calibri" w:cs="Times New Roman"/>
          <w:color w:val="595959" w:themeColor="text1" w:themeTint="A6"/>
        </w:rPr>
        <w:t xml:space="preserve">τρίμηνο του 2021) το διαθέσιμο εισόδημα του τομέα των νοικοκυριών και των μη κερδοσκοπικών ιδρυμάτων που εξυπηρετούν νοικοκυριά (ΜΚΙΕΝ) (S.1M) </w:t>
      </w:r>
      <w:r w:rsidRPr="007A5297">
        <w:rPr>
          <w:rFonts w:ascii="Calibri" w:eastAsia="Times New Roman" w:hAnsi="Calibri" w:cs="Times New Roman"/>
          <w:color w:val="595959" w:themeColor="text1" w:themeTint="A6"/>
        </w:rPr>
        <w:t>αυξήθηκε κατά 6,2% σε σύγκριση με το αντίστοιχο τρίμηνο του προηγούμενου έτους, από 31,55 δισ. ευρώ σε 33,52 δισ. ευρώ</w:t>
      </w:r>
      <w:r w:rsidRPr="00665C30">
        <w:rPr>
          <w:rFonts w:ascii="Calibri" w:eastAsia="Times New Roman" w:hAnsi="Calibri" w:cs="Times New Roman"/>
          <w:color w:val="595959" w:themeColor="text1" w:themeTint="A6"/>
        </w:rPr>
        <w:t>, υποστηριζόμενο από τα έκτακτα μέτρα στήριξης.</w:t>
      </w:r>
    </w:p>
    <w:p w14:paraId="0DD08225" w14:textId="77777777" w:rsidR="0061109F" w:rsidRPr="00665C30" w:rsidRDefault="0061109F" w:rsidP="0061109F">
      <w:pPr>
        <w:spacing w:line="276" w:lineRule="auto"/>
        <w:jc w:val="both"/>
        <w:rPr>
          <w:rFonts w:ascii="Calibri" w:eastAsia="Times New Roman" w:hAnsi="Calibri" w:cs="Times New Roman"/>
          <w:color w:val="595959" w:themeColor="text1" w:themeTint="A6"/>
        </w:rPr>
      </w:pPr>
    </w:p>
    <w:p w14:paraId="131D8489" w14:textId="77777777" w:rsidR="00456311" w:rsidRPr="001853D9" w:rsidRDefault="00456311" w:rsidP="005A6A28">
      <w:pPr>
        <w:spacing w:line="276" w:lineRule="auto"/>
        <w:jc w:val="both"/>
        <w:rPr>
          <w:rFonts w:asciiTheme="majorHAnsi" w:eastAsia="Times New Roman" w:hAnsiTheme="majorHAnsi" w:cstheme="majorHAnsi"/>
          <w:color w:val="595959"/>
        </w:rPr>
      </w:pPr>
    </w:p>
    <w:p w14:paraId="6E722CFF" w14:textId="77777777" w:rsidR="00EE0748" w:rsidRPr="001853D9" w:rsidRDefault="00EE0748" w:rsidP="005A6A28">
      <w:pPr>
        <w:spacing w:line="276" w:lineRule="auto"/>
        <w:rPr>
          <w:rFonts w:asciiTheme="majorHAnsi" w:eastAsia="Times New Roman" w:hAnsiTheme="majorHAnsi" w:cstheme="majorHAnsi"/>
          <w:color w:val="595959"/>
        </w:rPr>
      </w:pPr>
    </w:p>
    <w:p w14:paraId="2D351971" w14:textId="77777777" w:rsidR="005921E4" w:rsidRPr="001853D9" w:rsidRDefault="005921E4" w:rsidP="005A6A28">
      <w:pPr>
        <w:spacing w:line="276" w:lineRule="auto"/>
        <w:rPr>
          <w:rFonts w:asciiTheme="majorHAnsi" w:eastAsia="Calibri" w:hAnsiTheme="majorHAnsi" w:cstheme="majorHAnsi"/>
          <w:color w:val="595959"/>
        </w:rPr>
      </w:pPr>
    </w:p>
    <w:p w14:paraId="691DBF9E" w14:textId="77777777" w:rsidR="007E73CF" w:rsidRPr="001853D9" w:rsidRDefault="007E73CF" w:rsidP="005A6A28">
      <w:pPr>
        <w:spacing w:line="276" w:lineRule="auto"/>
        <w:rPr>
          <w:rFonts w:asciiTheme="majorHAnsi" w:eastAsia="Calibri" w:hAnsiTheme="majorHAnsi" w:cstheme="majorHAnsi"/>
          <w:color w:val="595959"/>
        </w:rPr>
      </w:pPr>
    </w:p>
    <w:p w14:paraId="354CF9C0" w14:textId="77777777" w:rsidR="007E73CF" w:rsidRPr="001853D9" w:rsidRDefault="007E73CF" w:rsidP="005A6A28">
      <w:pPr>
        <w:spacing w:line="276" w:lineRule="auto"/>
        <w:rPr>
          <w:rFonts w:asciiTheme="majorHAnsi" w:eastAsia="Calibri" w:hAnsiTheme="majorHAnsi" w:cstheme="majorHAnsi"/>
          <w:color w:val="595959"/>
        </w:rPr>
      </w:pPr>
    </w:p>
    <w:p w14:paraId="6515FD0F" w14:textId="77777777" w:rsidR="00B444B4" w:rsidRDefault="00B444B4" w:rsidP="005A6A28">
      <w:pPr>
        <w:spacing w:line="276" w:lineRule="auto"/>
        <w:rPr>
          <w:rFonts w:asciiTheme="majorHAnsi" w:eastAsia="Calibri" w:hAnsiTheme="majorHAnsi" w:cstheme="majorHAnsi"/>
          <w:color w:val="595959"/>
        </w:rPr>
      </w:pPr>
    </w:p>
    <w:p w14:paraId="179A1F23" w14:textId="77777777" w:rsidR="001C5A9C" w:rsidRDefault="001C5A9C" w:rsidP="005A6A28">
      <w:pPr>
        <w:spacing w:line="276" w:lineRule="auto"/>
        <w:rPr>
          <w:rFonts w:asciiTheme="majorHAnsi" w:eastAsia="Calibri" w:hAnsiTheme="majorHAnsi" w:cstheme="majorHAnsi"/>
          <w:color w:val="595959"/>
        </w:rPr>
      </w:pPr>
    </w:p>
    <w:p w14:paraId="0EA950C4" w14:textId="77777777" w:rsidR="001C5A9C" w:rsidRDefault="001C5A9C" w:rsidP="005A6A28">
      <w:pPr>
        <w:spacing w:line="276" w:lineRule="auto"/>
        <w:rPr>
          <w:rFonts w:asciiTheme="majorHAnsi" w:eastAsia="Calibri" w:hAnsiTheme="majorHAnsi" w:cstheme="majorHAnsi"/>
          <w:color w:val="595959"/>
        </w:rPr>
      </w:pPr>
    </w:p>
    <w:p w14:paraId="108C3AE2" w14:textId="77777777" w:rsidR="001C5A9C" w:rsidRDefault="001C5A9C" w:rsidP="005A6A28">
      <w:pPr>
        <w:spacing w:line="276" w:lineRule="auto"/>
        <w:rPr>
          <w:rFonts w:asciiTheme="majorHAnsi" w:eastAsia="Calibri" w:hAnsiTheme="majorHAnsi" w:cstheme="majorHAnsi"/>
          <w:color w:val="595959"/>
        </w:rPr>
      </w:pPr>
    </w:p>
    <w:p w14:paraId="6EBBB51C" w14:textId="77777777" w:rsidR="001C5A9C" w:rsidRDefault="001C5A9C" w:rsidP="005A6A28">
      <w:pPr>
        <w:spacing w:line="276" w:lineRule="auto"/>
        <w:rPr>
          <w:rFonts w:asciiTheme="majorHAnsi" w:eastAsia="Calibri" w:hAnsiTheme="majorHAnsi" w:cstheme="majorHAnsi"/>
          <w:color w:val="595959"/>
        </w:rPr>
      </w:pPr>
    </w:p>
    <w:p w14:paraId="321FD82D" w14:textId="77777777" w:rsidR="001C5A9C" w:rsidRDefault="001C5A9C" w:rsidP="005A6A28">
      <w:pPr>
        <w:spacing w:line="276" w:lineRule="auto"/>
        <w:rPr>
          <w:rFonts w:asciiTheme="majorHAnsi" w:eastAsia="Calibri" w:hAnsiTheme="majorHAnsi" w:cstheme="majorHAnsi"/>
          <w:color w:val="595959"/>
        </w:rPr>
      </w:pPr>
    </w:p>
    <w:p w14:paraId="0AB50A7F" w14:textId="77777777" w:rsidR="001C5A9C" w:rsidRDefault="001C5A9C" w:rsidP="005A6A28">
      <w:pPr>
        <w:spacing w:line="276" w:lineRule="auto"/>
        <w:rPr>
          <w:rFonts w:asciiTheme="majorHAnsi" w:eastAsia="Calibri" w:hAnsiTheme="majorHAnsi" w:cstheme="majorHAnsi"/>
          <w:color w:val="595959"/>
        </w:rPr>
      </w:pPr>
    </w:p>
    <w:p w14:paraId="5E605CF0" w14:textId="77777777" w:rsidR="001C5A9C" w:rsidRDefault="001C5A9C" w:rsidP="005A6A28">
      <w:pPr>
        <w:spacing w:line="276" w:lineRule="auto"/>
        <w:rPr>
          <w:rFonts w:asciiTheme="majorHAnsi" w:eastAsia="Calibri" w:hAnsiTheme="majorHAnsi" w:cstheme="majorHAnsi"/>
          <w:color w:val="595959"/>
        </w:rPr>
      </w:pPr>
    </w:p>
    <w:p w14:paraId="31DA42DF" w14:textId="77777777" w:rsidR="001C5A9C" w:rsidRDefault="001C5A9C" w:rsidP="005A6A28">
      <w:pPr>
        <w:spacing w:line="276" w:lineRule="auto"/>
        <w:rPr>
          <w:rFonts w:asciiTheme="majorHAnsi" w:eastAsia="Calibri" w:hAnsiTheme="majorHAnsi" w:cstheme="majorHAnsi"/>
          <w:color w:val="595959"/>
        </w:rPr>
      </w:pPr>
    </w:p>
    <w:p w14:paraId="1D443D21" w14:textId="77777777" w:rsidR="00AE09A8" w:rsidRPr="001853D9" w:rsidRDefault="009E2E2E" w:rsidP="005A6A28">
      <w:pPr>
        <w:pStyle w:val="Heading1"/>
        <w:spacing w:before="0" w:line="276" w:lineRule="auto"/>
        <w:jc w:val="center"/>
        <w:rPr>
          <w:rFonts w:cstheme="majorHAnsi"/>
        </w:rPr>
      </w:pPr>
      <w:bookmarkStart w:id="66" w:name="_Toc82689369"/>
      <w:bookmarkStart w:id="67" w:name="_Toc82713967"/>
      <w:bookmarkStart w:id="68" w:name="_Toc82714701"/>
      <w:bookmarkStart w:id="69" w:name="_Toc98160527"/>
      <w:r w:rsidRPr="001853D9">
        <w:rPr>
          <w:rFonts w:cstheme="majorHAnsi"/>
        </w:rPr>
        <w:lastRenderedPageBreak/>
        <w:t>2. Δημοσιονομικές εξελίξεις</w:t>
      </w:r>
      <w:bookmarkStart w:id="70" w:name="_Toc519523470"/>
      <w:bookmarkStart w:id="71" w:name="_Toc521341310"/>
      <w:bookmarkEnd w:id="18"/>
      <w:bookmarkEnd w:id="66"/>
      <w:bookmarkEnd w:id="67"/>
      <w:bookmarkEnd w:id="68"/>
      <w:bookmarkEnd w:id="69"/>
    </w:p>
    <w:p w14:paraId="5DE9E5D7" w14:textId="77777777" w:rsidR="000E5BBE" w:rsidRPr="001853D9" w:rsidRDefault="000E5BBE" w:rsidP="005A6A28">
      <w:pPr>
        <w:spacing w:after="0" w:line="276" w:lineRule="auto"/>
        <w:rPr>
          <w:rFonts w:asciiTheme="majorHAnsi" w:hAnsiTheme="majorHAnsi" w:cstheme="majorHAnsi"/>
        </w:rPr>
      </w:pPr>
    </w:p>
    <w:p w14:paraId="7123548D" w14:textId="77777777" w:rsidR="009B2059" w:rsidRPr="001853D9" w:rsidRDefault="00073302" w:rsidP="001853D9">
      <w:pPr>
        <w:pStyle w:val="Heading2"/>
        <w:spacing w:before="0"/>
        <w:rPr>
          <w:rFonts w:eastAsia="Times New Roman" w:cstheme="majorHAnsi"/>
        </w:rPr>
      </w:pPr>
      <w:bookmarkStart w:id="72" w:name="_Toc82689370"/>
      <w:bookmarkStart w:id="73" w:name="_Toc82713968"/>
      <w:bookmarkStart w:id="74" w:name="_Toc82714702"/>
      <w:bookmarkStart w:id="75" w:name="_Toc98160528"/>
      <w:r w:rsidRPr="001853D9">
        <w:rPr>
          <w:rFonts w:eastAsia="Times New Roman" w:cstheme="majorHAnsi"/>
        </w:rPr>
        <w:t>2.</w:t>
      </w:r>
      <w:r w:rsidR="00533E6E" w:rsidRPr="001853D9">
        <w:rPr>
          <w:rFonts w:eastAsia="Times New Roman" w:cstheme="majorHAnsi"/>
        </w:rPr>
        <w:t>1</w:t>
      </w:r>
      <w:r w:rsidR="00433B67" w:rsidRPr="001853D9">
        <w:rPr>
          <w:rFonts w:eastAsia="Times New Roman" w:cstheme="majorHAnsi"/>
        </w:rPr>
        <w:t>.</w:t>
      </w:r>
      <w:r w:rsidRPr="001853D9">
        <w:rPr>
          <w:rFonts w:eastAsia="Times New Roman" w:cstheme="majorHAnsi"/>
        </w:rPr>
        <w:t xml:space="preserve"> </w:t>
      </w:r>
      <w:r w:rsidR="00243D0B" w:rsidRPr="001853D9">
        <w:rPr>
          <w:rFonts w:eastAsia="Times New Roman" w:cstheme="majorHAnsi"/>
        </w:rPr>
        <w:t xml:space="preserve">Δημοσιονομικά στοιχεία Ιανουαρίου - </w:t>
      </w:r>
      <w:r w:rsidR="008E38A6">
        <w:rPr>
          <w:rFonts w:eastAsia="Times New Roman" w:cstheme="majorHAnsi"/>
        </w:rPr>
        <w:t>Δεκεμβρίου</w:t>
      </w:r>
      <w:r w:rsidR="00940CCD" w:rsidRPr="001853D9">
        <w:rPr>
          <w:rFonts w:eastAsia="Times New Roman" w:cstheme="majorHAnsi"/>
        </w:rPr>
        <w:t xml:space="preserve"> </w:t>
      </w:r>
      <w:r w:rsidR="00243D0B" w:rsidRPr="001853D9">
        <w:rPr>
          <w:rFonts w:eastAsia="Times New Roman" w:cstheme="majorHAnsi"/>
        </w:rPr>
        <w:t>202</w:t>
      </w:r>
      <w:r w:rsidR="00352C28" w:rsidRPr="001853D9">
        <w:rPr>
          <w:rFonts w:eastAsia="Times New Roman" w:cstheme="majorHAnsi"/>
        </w:rPr>
        <w:t>1</w:t>
      </w:r>
      <w:bookmarkStart w:id="76" w:name="_Toc513474241"/>
      <w:bookmarkStart w:id="77" w:name="_Toc518984847"/>
      <w:bookmarkStart w:id="78" w:name="_Toc521341312"/>
      <w:bookmarkEnd w:id="70"/>
      <w:bookmarkEnd w:id="71"/>
      <w:bookmarkEnd w:id="72"/>
      <w:bookmarkEnd w:id="73"/>
      <w:bookmarkEnd w:id="74"/>
      <w:bookmarkEnd w:id="75"/>
    </w:p>
    <w:p w14:paraId="736F9131" w14:textId="77777777" w:rsidR="00AD3C3D" w:rsidRPr="00143A98" w:rsidRDefault="00AD3C3D" w:rsidP="00AD3C3D">
      <w:pPr>
        <w:spacing w:after="0" w:line="240" w:lineRule="auto"/>
        <w:jc w:val="both"/>
        <w:rPr>
          <w:rFonts w:ascii="Calibri" w:eastAsia="Calibri" w:hAnsi="Calibri" w:cs="Calibri"/>
          <w:color w:val="595959"/>
        </w:rPr>
      </w:pPr>
    </w:p>
    <w:p w14:paraId="1A21FB44" w14:textId="77777777" w:rsidR="00AD3C3D" w:rsidRPr="00143A98" w:rsidRDefault="00231EF2" w:rsidP="00AD3C3D">
      <w:pPr>
        <w:spacing w:line="240" w:lineRule="auto"/>
        <w:jc w:val="both"/>
        <w:rPr>
          <w:rFonts w:ascii="Calibri" w:eastAsia="Calibri" w:hAnsi="Calibri" w:cs="Calibri"/>
          <w:color w:val="595959"/>
        </w:rPr>
      </w:pPr>
      <w:r>
        <w:rPr>
          <w:rFonts w:ascii="Calibri" w:eastAsia="Calibri" w:hAnsi="Calibri" w:cs="Calibri"/>
          <w:color w:val="595959"/>
        </w:rPr>
        <w:t>Τ</w:t>
      </w:r>
      <w:r w:rsidR="00AD3C3D" w:rsidRPr="00143A98">
        <w:rPr>
          <w:rFonts w:ascii="Calibri" w:eastAsia="Calibri" w:hAnsi="Calibri" w:cs="Calibri"/>
          <w:color w:val="595959"/>
        </w:rPr>
        <w:t>ο Ενοποιημένο Πρωτογενές Αποτέλεσμα</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Γενικής Κυβέρνησης με προσαρμογές</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το</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δωδεκάμηνο</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Ιανουαρίου – Δεκεμβρίου του</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2021</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καταγράφει πρωτογενές έλλειμμα</w:t>
      </w:r>
      <w:r w:rsidR="00AD3C3D" w:rsidRPr="00420727">
        <w:rPr>
          <w:rFonts w:ascii="Calibri" w:eastAsia="Calibri" w:hAnsi="Calibri" w:cs="Calibri"/>
          <w:color w:val="595959"/>
        </w:rPr>
        <w:t xml:space="preserve"> </w:t>
      </w:r>
      <w:r w:rsidR="001E4CF6">
        <w:rPr>
          <w:rFonts w:ascii="Calibri" w:eastAsia="Calibri" w:hAnsi="Calibri" w:cs="Calibri"/>
          <w:color w:val="595959"/>
        </w:rPr>
        <w:t>11</w:t>
      </w:r>
      <w:r w:rsidR="00AD3C3D" w:rsidRPr="00143A98">
        <w:rPr>
          <w:rFonts w:ascii="Calibri" w:eastAsia="Calibri" w:hAnsi="Calibri" w:cs="Calibri"/>
          <w:color w:val="595959"/>
        </w:rPr>
        <w:t>.</w:t>
      </w:r>
      <w:r w:rsidR="00AD3C3D" w:rsidRPr="00420727">
        <w:rPr>
          <w:rFonts w:ascii="Calibri" w:eastAsia="Calibri" w:hAnsi="Calibri" w:cs="Calibri"/>
          <w:color w:val="595959"/>
        </w:rPr>
        <w:t>3</w:t>
      </w:r>
      <w:r w:rsidR="001E4CF6">
        <w:rPr>
          <w:rFonts w:ascii="Calibri" w:eastAsia="Calibri" w:hAnsi="Calibri" w:cs="Calibri"/>
          <w:color w:val="595959"/>
        </w:rPr>
        <w:t>22</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εκατ. ευρώ που ισοδυναμεί με βελτίωση</w:t>
      </w:r>
      <w:r w:rsidR="00AD3C3D" w:rsidRPr="00420727">
        <w:rPr>
          <w:rFonts w:ascii="Calibri" w:eastAsia="Calibri" w:hAnsi="Calibri" w:cs="Calibri"/>
          <w:color w:val="595959"/>
        </w:rPr>
        <w:t xml:space="preserve"> </w:t>
      </w:r>
      <w:r w:rsidR="001E4CF6">
        <w:rPr>
          <w:rFonts w:ascii="Calibri" w:eastAsia="Calibri" w:hAnsi="Calibri" w:cs="Calibri"/>
          <w:color w:val="595959"/>
        </w:rPr>
        <w:t>2</w:t>
      </w:r>
      <w:r w:rsidR="00AD3C3D" w:rsidRPr="00143A98">
        <w:rPr>
          <w:rFonts w:ascii="Calibri" w:eastAsia="Calibri" w:hAnsi="Calibri" w:cs="Calibri"/>
          <w:color w:val="595959"/>
        </w:rPr>
        <w:t>.26</w:t>
      </w:r>
      <w:r w:rsidR="001E4CF6">
        <w:rPr>
          <w:rFonts w:ascii="Calibri" w:eastAsia="Calibri" w:hAnsi="Calibri" w:cs="Calibri"/>
          <w:color w:val="595959"/>
        </w:rPr>
        <w:t>0</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εκατ. ευρώ σε σύγκριση με το αντίστοιχο δωδεκάμηνο του προηγούμενου έτους.</w:t>
      </w:r>
    </w:p>
    <w:p w14:paraId="24B119ED" w14:textId="77777777" w:rsidR="00AD3C3D" w:rsidRPr="00143A98" w:rsidRDefault="00AD3C3D" w:rsidP="00AD3C3D">
      <w:pPr>
        <w:spacing w:line="240" w:lineRule="auto"/>
        <w:jc w:val="both"/>
        <w:rPr>
          <w:rFonts w:ascii="Calibri" w:eastAsia="Calibri" w:hAnsi="Calibri" w:cs="Calibri"/>
          <w:color w:val="595959"/>
        </w:rPr>
      </w:pPr>
      <w:r w:rsidRPr="00143A98">
        <w:rPr>
          <w:rFonts w:ascii="Calibri" w:eastAsia="Calibri" w:hAnsi="Calibri" w:cs="Calibri"/>
          <w:color w:val="595959"/>
        </w:rPr>
        <w:t>Ο Κρατικός Προϋπολογισμός παρουσιάζει ταμειακό πρωτογενές έλλειμμα</w:t>
      </w:r>
      <w:r w:rsidRPr="00420727">
        <w:rPr>
          <w:rFonts w:ascii="Calibri" w:eastAsia="Calibri" w:hAnsi="Calibri" w:cs="Calibri"/>
          <w:color w:val="595959"/>
        </w:rPr>
        <w:t xml:space="preserve"> </w:t>
      </w:r>
      <w:r w:rsidRPr="00143A98">
        <w:rPr>
          <w:rFonts w:ascii="Calibri" w:eastAsia="Calibri" w:hAnsi="Calibri" w:cs="Calibri"/>
          <w:color w:val="595959"/>
        </w:rPr>
        <w:t>10.327</w:t>
      </w:r>
      <w:r w:rsidRPr="00420727">
        <w:rPr>
          <w:rFonts w:ascii="Calibri" w:eastAsia="Calibri" w:hAnsi="Calibri" w:cs="Calibri"/>
          <w:color w:val="595959"/>
        </w:rPr>
        <w:t xml:space="preserve"> </w:t>
      </w:r>
      <w:r w:rsidR="008A6A8A">
        <w:rPr>
          <w:rFonts w:ascii="Calibri" w:eastAsia="Calibri" w:hAnsi="Calibri" w:cs="Calibri"/>
          <w:color w:val="595959"/>
        </w:rPr>
        <w:t>εκατ. ευρώ,</w:t>
      </w:r>
      <w:r w:rsidRPr="00143A98">
        <w:rPr>
          <w:rFonts w:ascii="Calibri" w:eastAsia="Calibri" w:hAnsi="Calibri" w:cs="Calibri"/>
          <w:color w:val="595959"/>
        </w:rPr>
        <w:t xml:space="preserve"> αυξημένο</w:t>
      </w:r>
      <w:r w:rsidRPr="00420727">
        <w:rPr>
          <w:rFonts w:ascii="Calibri" w:eastAsia="Calibri" w:hAnsi="Calibri" w:cs="Calibri"/>
          <w:color w:val="595959"/>
        </w:rPr>
        <w:t xml:space="preserve"> </w:t>
      </w:r>
      <w:r w:rsidRPr="00143A98">
        <w:rPr>
          <w:rFonts w:ascii="Calibri" w:eastAsia="Calibri" w:hAnsi="Calibri" w:cs="Calibri"/>
          <w:color w:val="595959"/>
        </w:rPr>
        <w:t>κατά</w:t>
      </w:r>
      <w:r w:rsidRPr="00420727">
        <w:rPr>
          <w:rFonts w:ascii="Calibri" w:eastAsia="Calibri" w:hAnsi="Calibri" w:cs="Calibri"/>
          <w:color w:val="595959"/>
        </w:rPr>
        <w:t xml:space="preserve"> </w:t>
      </w:r>
      <w:r w:rsidRPr="00143A98">
        <w:rPr>
          <w:rFonts w:ascii="Calibri" w:eastAsia="Calibri" w:hAnsi="Calibri" w:cs="Calibri"/>
          <w:color w:val="595959"/>
        </w:rPr>
        <w:t>7.868</w:t>
      </w:r>
      <w:r w:rsidRPr="00420727">
        <w:rPr>
          <w:rFonts w:ascii="Calibri" w:eastAsia="Calibri" w:hAnsi="Calibri" w:cs="Calibri"/>
          <w:color w:val="595959"/>
        </w:rPr>
        <w:t xml:space="preserve"> </w:t>
      </w:r>
      <w:r w:rsidRPr="00143A98">
        <w:rPr>
          <w:rFonts w:ascii="Calibri" w:eastAsia="Calibri" w:hAnsi="Calibri" w:cs="Calibri"/>
          <w:color w:val="595959"/>
        </w:rPr>
        <w:t>εκατ. ευρώ σε σύγκριση με το αντίστοιχο</w:t>
      </w:r>
      <w:r w:rsidRPr="00420727">
        <w:rPr>
          <w:rFonts w:ascii="Calibri" w:eastAsia="Calibri" w:hAnsi="Calibri" w:cs="Calibri"/>
          <w:color w:val="595959"/>
        </w:rPr>
        <w:t xml:space="preserve"> </w:t>
      </w:r>
      <w:r w:rsidRPr="00143A98">
        <w:rPr>
          <w:rFonts w:ascii="Calibri" w:eastAsia="Calibri" w:hAnsi="Calibri" w:cs="Calibri"/>
          <w:color w:val="595959"/>
        </w:rPr>
        <w:t>δωδεκάμηνο του 2020. Στην πλευρά των εσόδων, εμφανίζονται αυξημένα τα μη φορολογικά και μη τακτικά έσοδα κατά 2.991 εκατ. ευρώ, κυρίως λόγω της προκαταβολής του Ταμείου Ανάκαμψης και Ανθεκτικότητας ύψους 2.310 εκατ. ευρώ</w:t>
      </w:r>
      <w:r w:rsidRPr="00420727">
        <w:rPr>
          <w:rFonts w:ascii="Calibri" w:eastAsia="Calibri" w:hAnsi="Calibri" w:cs="Calibri"/>
          <w:color w:val="595959"/>
        </w:rPr>
        <w:t xml:space="preserve">, </w:t>
      </w:r>
      <w:r w:rsidRPr="00143A98">
        <w:rPr>
          <w:rFonts w:ascii="Calibri" w:eastAsia="Calibri" w:hAnsi="Calibri" w:cs="Calibri"/>
          <w:color w:val="595959"/>
        </w:rPr>
        <w:t>τα φορολογικά έσοδα κατά 4.928 εκατ. ευρώ, ενώ</w:t>
      </w:r>
      <w:r w:rsidRPr="00420727">
        <w:rPr>
          <w:rFonts w:ascii="Calibri" w:eastAsia="Calibri" w:hAnsi="Calibri" w:cs="Calibri"/>
          <w:color w:val="595959"/>
        </w:rPr>
        <w:t xml:space="preserve"> </w:t>
      </w:r>
      <w:r w:rsidRPr="00143A98">
        <w:rPr>
          <w:rFonts w:ascii="Calibri" w:eastAsia="Calibri" w:hAnsi="Calibri" w:cs="Calibri"/>
          <w:color w:val="595959"/>
        </w:rPr>
        <w:t>τα έσοδα του ΠΔΕ εμφανίζονται μειωμένα κατά</w:t>
      </w:r>
      <w:r w:rsidRPr="00420727">
        <w:rPr>
          <w:rFonts w:ascii="Calibri" w:eastAsia="Calibri" w:hAnsi="Calibri" w:cs="Calibri"/>
          <w:color w:val="595959"/>
        </w:rPr>
        <w:t xml:space="preserve"> </w:t>
      </w:r>
      <w:r w:rsidRPr="00143A98">
        <w:rPr>
          <w:rFonts w:ascii="Calibri" w:eastAsia="Calibri" w:hAnsi="Calibri" w:cs="Calibri"/>
          <w:color w:val="595959"/>
        </w:rPr>
        <w:t xml:space="preserve">973 εκατ. ευρώ. </w:t>
      </w:r>
    </w:p>
    <w:p w14:paraId="393C51BF" w14:textId="77777777" w:rsidR="00AD3C3D" w:rsidRPr="00143A98" w:rsidRDefault="00AD3C3D" w:rsidP="00AD3C3D">
      <w:pPr>
        <w:spacing w:line="240" w:lineRule="auto"/>
        <w:jc w:val="both"/>
        <w:rPr>
          <w:rFonts w:ascii="Calibri" w:eastAsia="Calibri" w:hAnsi="Calibri" w:cs="Calibri"/>
          <w:color w:val="595959"/>
        </w:rPr>
      </w:pPr>
      <w:r w:rsidRPr="00143A98">
        <w:rPr>
          <w:rFonts w:ascii="Calibri" w:eastAsia="Calibri" w:hAnsi="Calibri" w:cs="Calibri"/>
          <w:color w:val="595959"/>
        </w:rPr>
        <w:t>Στην πλευρά των δαπανών του Κρατικού Προϋπολογισμού παρατηρείται μείωση κατά</w:t>
      </w:r>
      <w:r w:rsidRPr="00420727">
        <w:rPr>
          <w:rFonts w:ascii="Calibri" w:eastAsia="Calibri" w:hAnsi="Calibri" w:cs="Calibri"/>
          <w:color w:val="595959"/>
        </w:rPr>
        <w:t xml:space="preserve"> </w:t>
      </w:r>
      <w:r w:rsidRPr="00143A98">
        <w:rPr>
          <w:rFonts w:ascii="Calibri" w:eastAsia="Calibri" w:hAnsi="Calibri" w:cs="Calibri"/>
          <w:color w:val="595959"/>
        </w:rPr>
        <w:t>420 εκατ. ευρώ σε σύγκριση</w:t>
      </w:r>
      <w:r w:rsidRPr="00420727">
        <w:rPr>
          <w:rFonts w:ascii="Calibri" w:eastAsia="Calibri" w:hAnsi="Calibri" w:cs="Calibri"/>
          <w:color w:val="595959"/>
        </w:rPr>
        <w:t xml:space="preserve"> </w:t>
      </w:r>
      <w:r w:rsidRPr="00143A98">
        <w:rPr>
          <w:rFonts w:ascii="Calibri" w:eastAsia="Calibri" w:hAnsi="Calibri" w:cs="Calibri"/>
          <w:color w:val="595959"/>
        </w:rPr>
        <w:t>με το αντίστοιχο δωδεκάμηνο</w:t>
      </w:r>
      <w:r w:rsidRPr="00420727">
        <w:rPr>
          <w:rFonts w:ascii="Calibri" w:eastAsia="Calibri" w:hAnsi="Calibri" w:cs="Calibri"/>
          <w:color w:val="595959"/>
        </w:rPr>
        <w:t xml:space="preserve"> </w:t>
      </w:r>
      <w:r w:rsidRPr="00143A98">
        <w:rPr>
          <w:rFonts w:ascii="Calibri" w:eastAsia="Calibri" w:hAnsi="Calibri" w:cs="Calibri"/>
          <w:color w:val="595959"/>
        </w:rPr>
        <w:t>του</w:t>
      </w:r>
      <w:r w:rsidRPr="00420727">
        <w:rPr>
          <w:rFonts w:ascii="Calibri" w:eastAsia="Calibri" w:hAnsi="Calibri" w:cs="Calibri"/>
          <w:color w:val="595959"/>
        </w:rPr>
        <w:t xml:space="preserve"> </w:t>
      </w:r>
      <w:r w:rsidRPr="00143A98">
        <w:rPr>
          <w:rFonts w:ascii="Calibri" w:eastAsia="Calibri" w:hAnsi="Calibri" w:cs="Calibri"/>
          <w:color w:val="595959"/>
        </w:rPr>
        <w:t xml:space="preserve">2020, η οποία αποδίδεται </w:t>
      </w:r>
      <w:bookmarkStart w:id="79" w:name="_Hlk42493516"/>
      <w:r w:rsidRPr="00143A98">
        <w:rPr>
          <w:rFonts w:ascii="Calibri" w:eastAsia="Calibri" w:hAnsi="Calibri" w:cs="Calibri"/>
          <w:color w:val="595959"/>
        </w:rPr>
        <w:t>στην</w:t>
      </w:r>
      <w:bookmarkStart w:id="80" w:name="_Hlk39900345"/>
      <w:r w:rsidRPr="00420727">
        <w:rPr>
          <w:rFonts w:ascii="Calibri" w:eastAsia="Calibri" w:hAnsi="Calibri" w:cs="Calibri"/>
          <w:color w:val="595959"/>
        </w:rPr>
        <w:t xml:space="preserve"> </w:t>
      </w:r>
      <w:r w:rsidRPr="00143A98">
        <w:rPr>
          <w:rFonts w:ascii="Calibri" w:eastAsia="Calibri" w:hAnsi="Calibri" w:cs="Calibri"/>
          <w:color w:val="595959"/>
        </w:rPr>
        <w:t xml:space="preserve">μείωση των δαπανών του ΠΔΕ και Ταμείου Ανάκαμψης και Ανθεκτικότητας κατά 1.646 εκατ. ευρώ, ενώ οι </w:t>
      </w:r>
      <w:bookmarkEnd w:id="79"/>
      <w:r w:rsidR="00047166">
        <w:rPr>
          <w:rFonts w:ascii="Calibri" w:eastAsia="Calibri" w:hAnsi="Calibri" w:cs="Calibri"/>
          <w:color w:val="595959"/>
        </w:rPr>
        <w:t>π</w:t>
      </w:r>
      <w:r w:rsidRPr="00143A98">
        <w:rPr>
          <w:rFonts w:ascii="Calibri" w:eastAsia="Calibri" w:hAnsi="Calibri" w:cs="Calibri"/>
          <w:color w:val="595959"/>
        </w:rPr>
        <w:t>ρωτογενείς δαπάνες του τακτικού προϋπολογισμού αυξήθηκαν</w:t>
      </w:r>
      <w:r w:rsidRPr="00420727">
        <w:rPr>
          <w:rFonts w:ascii="Calibri" w:eastAsia="Calibri" w:hAnsi="Calibri" w:cs="Calibri"/>
          <w:color w:val="595959"/>
        </w:rPr>
        <w:t xml:space="preserve"> </w:t>
      </w:r>
      <w:r w:rsidRPr="00143A98">
        <w:rPr>
          <w:rFonts w:ascii="Calibri" w:eastAsia="Calibri" w:hAnsi="Calibri" w:cs="Calibri"/>
          <w:color w:val="595959"/>
        </w:rPr>
        <w:t>κατά 1.127 εκατ. ευρώ</w:t>
      </w:r>
      <w:r w:rsidRPr="00420727">
        <w:rPr>
          <w:rFonts w:ascii="Calibri" w:eastAsia="Calibri" w:hAnsi="Calibri" w:cs="Calibri"/>
          <w:color w:val="595959"/>
        </w:rPr>
        <w:t xml:space="preserve"> </w:t>
      </w:r>
      <w:r w:rsidRPr="00143A98">
        <w:rPr>
          <w:rFonts w:ascii="Calibri" w:eastAsia="Calibri" w:hAnsi="Calibri" w:cs="Calibri"/>
          <w:color w:val="595959"/>
        </w:rPr>
        <w:t>και οι δαπάνες για τόκους</w:t>
      </w:r>
      <w:r w:rsidRPr="00420727">
        <w:rPr>
          <w:rFonts w:ascii="Calibri" w:eastAsia="Calibri" w:hAnsi="Calibri" w:cs="Calibri"/>
          <w:color w:val="595959"/>
        </w:rPr>
        <w:t xml:space="preserve"> </w:t>
      </w:r>
      <w:r w:rsidRPr="00143A98">
        <w:rPr>
          <w:rFonts w:ascii="Calibri" w:eastAsia="Calibri" w:hAnsi="Calibri" w:cs="Calibri"/>
          <w:color w:val="595959"/>
        </w:rPr>
        <w:t>κατά 100 εκατ. ευρώ</w:t>
      </w:r>
      <w:bookmarkEnd w:id="80"/>
      <w:r w:rsidRPr="00143A98">
        <w:rPr>
          <w:rFonts w:ascii="Calibri" w:eastAsia="Calibri" w:hAnsi="Calibri" w:cs="Calibri"/>
          <w:color w:val="595959"/>
        </w:rPr>
        <w:t>.</w:t>
      </w:r>
    </w:p>
    <w:p w14:paraId="5A18CC26" w14:textId="77777777" w:rsidR="00AD3C3D" w:rsidRPr="00143A98" w:rsidRDefault="00231EF2" w:rsidP="00AD3C3D">
      <w:pPr>
        <w:spacing w:line="240" w:lineRule="auto"/>
        <w:jc w:val="both"/>
        <w:rPr>
          <w:rFonts w:ascii="Calibri" w:eastAsia="Calibri" w:hAnsi="Calibri" w:cs="Calibri"/>
          <w:color w:val="595959"/>
        </w:rPr>
      </w:pPr>
      <w:r>
        <w:rPr>
          <w:rFonts w:ascii="Calibri" w:eastAsia="Calibri" w:hAnsi="Calibri" w:cs="Calibri"/>
          <w:color w:val="595959"/>
        </w:rPr>
        <w:t>Τ</w:t>
      </w:r>
      <w:r w:rsidR="00AD3C3D" w:rsidRPr="00143A98">
        <w:rPr>
          <w:rFonts w:ascii="Calibri" w:eastAsia="Calibri" w:hAnsi="Calibri" w:cs="Calibri"/>
          <w:color w:val="595959"/>
        </w:rPr>
        <w:t>α Νομικά Πρόσωπα εμφανίζουν μειωμένα έσοδα κατά 3.450 εκατ. ευρώ και αυξημένες δαπάνες κατά 139</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εκατ. ευρώ, καταλήγοντας σε ένα ταμειακό πρωτογενές</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πλεόνασμα</w:t>
      </w:r>
      <w:r w:rsidR="00AD3C3D" w:rsidRPr="00420727">
        <w:rPr>
          <w:rFonts w:ascii="Calibri" w:eastAsia="Calibri" w:hAnsi="Calibri" w:cs="Calibri"/>
          <w:color w:val="595959"/>
        </w:rPr>
        <w:t xml:space="preserve"> </w:t>
      </w:r>
      <w:r>
        <w:rPr>
          <w:rFonts w:ascii="Calibri" w:eastAsia="Calibri" w:hAnsi="Calibri" w:cs="Calibri"/>
          <w:color w:val="595959"/>
        </w:rPr>
        <w:t>2.366 εκατ. ευρώ,</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μειωμένο</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κατά 3.631 εκατ. ευρώ σε σύγκριση</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με το αντίστοιχο</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δωδεκάμηνο</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του 2020. Η μείωση των εσόδων των Νομικών Προσώπων οφείλεται κυρίως στην μείωση των</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μεταβιβάσεων</w:t>
      </w:r>
      <w:bookmarkStart w:id="81" w:name="_Hlk87032220"/>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(κυρίως από τον Κρατικό Προϋπολογισμό)</w:t>
      </w:r>
      <w:bookmarkEnd w:id="81"/>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κατά 3.935 εκατ. ευρώ. Η αύξηση των δαπανών των</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Νομικών Προσώπων οφείλεται κυρίως στην</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αύξηση των δαπανών για αγορά αγαθών και υπηρεσιών</w:t>
      </w:r>
      <w:bookmarkStart w:id="82" w:name="_Hlk79388173"/>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κατά</w:t>
      </w:r>
      <w:r w:rsidR="00AD3C3D" w:rsidRPr="00420727">
        <w:rPr>
          <w:rFonts w:ascii="Calibri" w:eastAsia="Calibri" w:hAnsi="Calibri" w:cs="Calibri"/>
          <w:color w:val="595959"/>
        </w:rPr>
        <w:t xml:space="preserve"> </w:t>
      </w:r>
      <w:r w:rsidR="00AD3C3D" w:rsidRPr="00143A98">
        <w:rPr>
          <w:rFonts w:ascii="Calibri" w:eastAsia="Calibri" w:hAnsi="Calibri" w:cs="Calibri"/>
          <w:color w:val="595959"/>
        </w:rPr>
        <w:t>531 εκατ. ευρώ</w:t>
      </w:r>
      <w:bookmarkEnd w:id="82"/>
      <w:r w:rsidR="00AD3C3D" w:rsidRPr="00143A98">
        <w:rPr>
          <w:rFonts w:ascii="Calibri" w:eastAsia="Calibri" w:hAnsi="Calibri" w:cs="Calibri"/>
          <w:color w:val="595959"/>
        </w:rPr>
        <w:t xml:space="preserve">. </w:t>
      </w:r>
    </w:p>
    <w:p w14:paraId="045CBDC0" w14:textId="77777777" w:rsidR="00AD3C3D" w:rsidRPr="00143A98" w:rsidRDefault="00AD3C3D" w:rsidP="00AD3C3D">
      <w:pPr>
        <w:spacing w:line="240" w:lineRule="auto"/>
        <w:jc w:val="both"/>
        <w:rPr>
          <w:rFonts w:ascii="Calibri" w:eastAsia="Calibri" w:hAnsi="Calibri" w:cs="Calibri"/>
          <w:color w:val="595959"/>
        </w:rPr>
      </w:pPr>
      <w:r w:rsidRPr="00143A98">
        <w:rPr>
          <w:rFonts w:ascii="Calibri" w:eastAsia="Calibri" w:hAnsi="Calibri" w:cs="Calibri"/>
          <w:color w:val="595959"/>
        </w:rPr>
        <w:t xml:space="preserve">Οι </w:t>
      </w:r>
      <w:r w:rsidRPr="00420727">
        <w:rPr>
          <w:rFonts w:ascii="Calibri" w:eastAsia="Calibri" w:hAnsi="Calibri" w:cs="Calibri"/>
          <w:color w:val="595959"/>
        </w:rPr>
        <w:t xml:space="preserve"> </w:t>
      </w:r>
      <w:r w:rsidRPr="00143A98">
        <w:rPr>
          <w:rFonts w:ascii="Calibri" w:eastAsia="Calibri" w:hAnsi="Calibri" w:cs="Calibri"/>
          <w:color w:val="595959"/>
        </w:rPr>
        <w:t>Οργανισμοί Τοπικής Αυτοδιοίκησης (ΟΤΑ) καταγράφουν αυξημένα έσοδα κατά 410 εκατ. ευρώ και αυξημένες δαπάνες κατά 728 εκατ. ευρώ, με συνέπεια το πρωτογενές τους</w:t>
      </w:r>
      <w:r w:rsidRPr="00420727">
        <w:rPr>
          <w:rFonts w:ascii="Calibri" w:eastAsia="Calibri" w:hAnsi="Calibri" w:cs="Calibri"/>
          <w:color w:val="595959"/>
        </w:rPr>
        <w:t xml:space="preserve">  </w:t>
      </w:r>
      <w:r w:rsidRPr="00143A98">
        <w:rPr>
          <w:rFonts w:ascii="Calibri" w:eastAsia="Calibri" w:hAnsi="Calibri" w:cs="Calibri"/>
          <w:color w:val="595959"/>
        </w:rPr>
        <w:t xml:space="preserve">έλλειμμα </w:t>
      </w:r>
      <w:r w:rsidR="00231EF2">
        <w:rPr>
          <w:rFonts w:ascii="Calibri" w:eastAsia="Calibri" w:hAnsi="Calibri" w:cs="Calibri"/>
          <w:color w:val="595959"/>
        </w:rPr>
        <w:t>(</w:t>
      </w:r>
      <w:r w:rsidRPr="00143A98">
        <w:rPr>
          <w:rFonts w:ascii="Calibri" w:eastAsia="Calibri" w:hAnsi="Calibri" w:cs="Calibri"/>
          <w:color w:val="595959"/>
        </w:rPr>
        <w:t>238 εκατ. ευρώ) να είναι μειωμένο κατά 329 εκατ. ευρώ σε σύγκριση με το αντίστοιχο</w:t>
      </w:r>
      <w:r w:rsidRPr="00420727">
        <w:rPr>
          <w:rFonts w:ascii="Calibri" w:eastAsia="Calibri" w:hAnsi="Calibri" w:cs="Calibri"/>
          <w:color w:val="595959"/>
        </w:rPr>
        <w:t xml:space="preserve"> </w:t>
      </w:r>
      <w:r w:rsidRPr="00143A98">
        <w:rPr>
          <w:rFonts w:ascii="Calibri" w:eastAsia="Calibri" w:hAnsi="Calibri" w:cs="Calibri"/>
          <w:color w:val="595959"/>
        </w:rPr>
        <w:t>δωδεκάμηνο</w:t>
      </w:r>
      <w:r w:rsidRPr="00420727">
        <w:rPr>
          <w:rFonts w:ascii="Calibri" w:eastAsia="Calibri" w:hAnsi="Calibri" w:cs="Calibri"/>
          <w:color w:val="595959"/>
        </w:rPr>
        <w:t xml:space="preserve"> </w:t>
      </w:r>
      <w:r w:rsidRPr="00143A98">
        <w:rPr>
          <w:rFonts w:ascii="Calibri" w:eastAsia="Calibri" w:hAnsi="Calibri" w:cs="Calibri"/>
          <w:color w:val="595959"/>
        </w:rPr>
        <w:t>του</w:t>
      </w:r>
      <w:r w:rsidRPr="00420727">
        <w:rPr>
          <w:rFonts w:ascii="Calibri" w:eastAsia="Calibri" w:hAnsi="Calibri" w:cs="Calibri"/>
          <w:color w:val="595959"/>
        </w:rPr>
        <w:t xml:space="preserve"> </w:t>
      </w:r>
      <w:r w:rsidRPr="00143A98">
        <w:rPr>
          <w:rFonts w:ascii="Calibri" w:eastAsia="Calibri" w:hAnsi="Calibri" w:cs="Calibri"/>
          <w:color w:val="595959"/>
        </w:rPr>
        <w:t>2020. Η αύξηση των εσόδων των Οργανισμών Τοπικής Αυτοδιοίκησης οφείλεται κυρίως στην αύξηση των μεταβιβάσεων (κυρίως από τον Κρατικό Προϋπολογισμό)</w:t>
      </w:r>
      <w:r w:rsidRPr="00420727">
        <w:rPr>
          <w:rFonts w:ascii="Calibri" w:eastAsia="Calibri" w:hAnsi="Calibri" w:cs="Calibri"/>
          <w:color w:val="595959"/>
        </w:rPr>
        <w:t xml:space="preserve"> </w:t>
      </w:r>
      <w:r w:rsidRPr="00143A98">
        <w:rPr>
          <w:rFonts w:ascii="Calibri" w:eastAsia="Calibri" w:hAnsi="Calibri" w:cs="Calibri"/>
          <w:color w:val="595959"/>
        </w:rPr>
        <w:t>κατά 345 εκατ. ευρώ.</w:t>
      </w:r>
      <w:r w:rsidRPr="00420727">
        <w:rPr>
          <w:rFonts w:ascii="Calibri" w:eastAsia="Calibri" w:hAnsi="Calibri" w:cs="Calibri"/>
          <w:color w:val="595959"/>
        </w:rPr>
        <w:t xml:space="preserve"> </w:t>
      </w:r>
      <w:r w:rsidRPr="00143A98">
        <w:rPr>
          <w:rFonts w:ascii="Calibri" w:eastAsia="Calibri" w:hAnsi="Calibri" w:cs="Calibri"/>
          <w:color w:val="595959"/>
        </w:rPr>
        <w:t>Η αύξηση των δαπανών των ΟΤΑ οφείλεται κυρίως σε αυξημένες αγορές μη χρηματοοικονομικών περιουσιακών στοιχείων κατά 365 εκατ. ευρώ (το τελευταίο δεν φαίνεται στη συνοπτική ταξινόμηση του πίνακα που ακολουθεί).</w:t>
      </w:r>
    </w:p>
    <w:p w14:paraId="74E83076" w14:textId="77777777" w:rsidR="00AD3C3D" w:rsidRPr="00143A98" w:rsidRDefault="00AD3C3D" w:rsidP="00AD3C3D">
      <w:pPr>
        <w:spacing w:line="240" w:lineRule="auto"/>
        <w:jc w:val="both"/>
        <w:rPr>
          <w:rFonts w:ascii="Calibri" w:eastAsia="Calibri" w:hAnsi="Calibri" w:cs="Calibri"/>
          <w:color w:val="595959"/>
        </w:rPr>
      </w:pPr>
      <w:r w:rsidRPr="00143A98">
        <w:rPr>
          <w:rFonts w:ascii="Calibri" w:eastAsia="Calibri" w:hAnsi="Calibri" w:cs="Calibri"/>
          <w:color w:val="595959"/>
        </w:rPr>
        <w:t>Οι Οργανισμοί Κοινωνικής Ασφάλισης (ΟΚΑ) καταγράφουν αυξημένα</w:t>
      </w:r>
      <w:r w:rsidRPr="00420727">
        <w:rPr>
          <w:rFonts w:ascii="Calibri" w:eastAsia="Calibri" w:hAnsi="Calibri" w:cs="Calibri"/>
          <w:color w:val="595959"/>
        </w:rPr>
        <w:t xml:space="preserve"> </w:t>
      </w:r>
      <w:r w:rsidRPr="00143A98">
        <w:rPr>
          <w:rFonts w:ascii="Calibri" w:eastAsia="Calibri" w:hAnsi="Calibri" w:cs="Calibri"/>
          <w:color w:val="595959"/>
        </w:rPr>
        <w:t>έσοδα κατά 464 εκατ. ευρώ και αυξημένες δαπάνες κατά 296 εκατ. ευρώ, με συνέπεια την αύξηση του πρωτογενούς αποτελέσματος</w:t>
      </w:r>
      <w:r w:rsidRPr="00420727">
        <w:rPr>
          <w:rFonts w:ascii="Calibri" w:eastAsia="Calibri" w:hAnsi="Calibri" w:cs="Calibri"/>
          <w:color w:val="595959"/>
        </w:rPr>
        <w:t xml:space="preserve"> </w:t>
      </w:r>
      <w:r w:rsidRPr="00143A98">
        <w:rPr>
          <w:rFonts w:ascii="Calibri" w:eastAsia="Calibri" w:hAnsi="Calibri" w:cs="Calibri"/>
          <w:color w:val="595959"/>
        </w:rPr>
        <w:t>τους (πρωτογενές πλεόνασμα</w:t>
      </w:r>
      <w:r w:rsidRPr="00420727">
        <w:rPr>
          <w:rFonts w:ascii="Calibri" w:eastAsia="Calibri" w:hAnsi="Calibri" w:cs="Calibri"/>
          <w:color w:val="595959"/>
        </w:rPr>
        <w:t xml:space="preserve"> </w:t>
      </w:r>
      <w:r w:rsidRPr="00143A98">
        <w:rPr>
          <w:rFonts w:ascii="Calibri" w:eastAsia="Calibri" w:hAnsi="Calibri" w:cs="Calibri"/>
          <w:color w:val="595959"/>
        </w:rPr>
        <w:t>1.017 εκατ. ευρώ) κατά 169 εκατ. ευρώ σε σύγκριση με το αντίστοιχο</w:t>
      </w:r>
      <w:r w:rsidRPr="00420727">
        <w:rPr>
          <w:rFonts w:ascii="Calibri" w:eastAsia="Calibri" w:hAnsi="Calibri" w:cs="Calibri"/>
          <w:color w:val="595959"/>
        </w:rPr>
        <w:t xml:space="preserve"> </w:t>
      </w:r>
      <w:r w:rsidRPr="00143A98">
        <w:rPr>
          <w:rFonts w:ascii="Calibri" w:eastAsia="Calibri" w:hAnsi="Calibri" w:cs="Calibri"/>
          <w:color w:val="595959"/>
        </w:rPr>
        <w:t>δωδεκάμηνο</w:t>
      </w:r>
      <w:r w:rsidRPr="00420727">
        <w:rPr>
          <w:rFonts w:ascii="Calibri" w:eastAsia="Calibri" w:hAnsi="Calibri" w:cs="Calibri"/>
          <w:color w:val="595959"/>
        </w:rPr>
        <w:t xml:space="preserve"> </w:t>
      </w:r>
      <w:r w:rsidRPr="00143A98">
        <w:rPr>
          <w:rFonts w:ascii="Calibri" w:eastAsia="Calibri" w:hAnsi="Calibri" w:cs="Calibri"/>
          <w:color w:val="595959"/>
        </w:rPr>
        <w:t>του 2020.</w:t>
      </w:r>
      <w:r w:rsidRPr="00420727">
        <w:rPr>
          <w:rFonts w:ascii="Calibri" w:eastAsia="Calibri" w:hAnsi="Calibri" w:cs="Calibri"/>
          <w:color w:val="595959"/>
        </w:rPr>
        <w:t xml:space="preserve"> </w:t>
      </w:r>
      <w:r w:rsidRPr="00143A98">
        <w:rPr>
          <w:rFonts w:ascii="Calibri" w:eastAsia="Calibri" w:hAnsi="Calibri" w:cs="Calibri"/>
          <w:color w:val="595959"/>
        </w:rPr>
        <w:t>Η αύξηση των εσόδων των Οργανισμών Κοινωνικής Ασφάλισης οφείλεται κυρίως στην αύξηση των</w:t>
      </w:r>
      <w:r w:rsidRPr="00420727">
        <w:rPr>
          <w:rFonts w:ascii="Calibri" w:eastAsia="Calibri" w:hAnsi="Calibri" w:cs="Calibri"/>
          <w:color w:val="595959"/>
        </w:rPr>
        <w:t xml:space="preserve"> </w:t>
      </w:r>
      <w:r w:rsidRPr="00143A98">
        <w:rPr>
          <w:rFonts w:ascii="Calibri" w:eastAsia="Calibri" w:hAnsi="Calibri" w:cs="Calibri"/>
          <w:color w:val="595959"/>
        </w:rPr>
        <w:t>ασφαλιστικών εισφορών (το τελευταίο δεν φαίνεται στη συνοπτική ταξινόμηση του πίνακα που ακολουθεί) κατά 440 εκατ. ευρώ.</w:t>
      </w:r>
      <w:r w:rsidRPr="00420727">
        <w:rPr>
          <w:rFonts w:ascii="Calibri" w:eastAsia="Calibri" w:hAnsi="Calibri" w:cs="Calibri"/>
          <w:color w:val="595959"/>
        </w:rPr>
        <w:t xml:space="preserve"> </w:t>
      </w:r>
      <w:r w:rsidRPr="00143A98">
        <w:rPr>
          <w:rFonts w:ascii="Calibri" w:eastAsia="Calibri" w:hAnsi="Calibri" w:cs="Calibri"/>
          <w:color w:val="595959"/>
        </w:rPr>
        <w:t>Η αύξηση των δαπανών των ΟΚΑ οφείλεται κυρίως σε αυξημένες δαπάνες για κοινωνικές παροχές κατά 1.243 εκατ. ευρώ.</w:t>
      </w:r>
    </w:p>
    <w:p w14:paraId="0A98042C" w14:textId="77777777" w:rsidR="00AD3C3D" w:rsidRDefault="00AD3C3D" w:rsidP="005C4E43">
      <w:pPr>
        <w:pStyle w:val="Caption"/>
        <w:keepNext/>
        <w:spacing w:after="0"/>
        <w:jc w:val="both"/>
        <w:rPr>
          <w:rFonts w:ascii="Calibri" w:eastAsia="Calibri" w:hAnsi="Calibri" w:cs="Calibri"/>
          <w:i w:val="0"/>
          <w:iCs w:val="0"/>
          <w:color w:val="595959"/>
          <w:sz w:val="22"/>
          <w:szCs w:val="22"/>
        </w:rPr>
      </w:pPr>
      <w:r w:rsidRPr="00143A98">
        <w:rPr>
          <w:rFonts w:ascii="Calibri" w:eastAsia="Calibri" w:hAnsi="Calibri" w:cs="Calibri"/>
          <w:i w:val="0"/>
          <w:iCs w:val="0"/>
          <w:color w:val="595959"/>
          <w:sz w:val="22"/>
          <w:szCs w:val="22"/>
        </w:rPr>
        <w:lastRenderedPageBreak/>
        <w:t>Τέλος, η μικρότερη</w:t>
      </w:r>
      <w:r w:rsidRPr="00420727">
        <w:rPr>
          <w:rFonts w:ascii="Calibri" w:eastAsia="Calibri" w:hAnsi="Calibri" w:cs="Calibri"/>
          <w:i w:val="0"/>
          <w:iCs w:val="0"/>
          <w:color w:val="595959"/>
          <w:sz w:val="22"/>
          <w:szCs w:val="22"/>
        </w:rPr>
        <w:t xml:space="preserve"> </w:t>
      </w:r>
      <w:r w:rsidRPr="00143A98">
        <w:rPr>
          <w:rFonts w:ascii="Calibri" w:eastAsia="Calibri" w:hAnsi="Calibri" w:cs="Calibri"/>
          <w:i w:val="0"/>
          <w:iCs w:val="0"/>
          <w:color w:val="595959"/>
          <w:sz w:val="22"/>
          <w:szCs w:val="22"/>
        </w:rPr>
        <w:t>μείωση των ληξιπρόθεσμων υποχρεώσεων της Γενικής Κυβέρνησης κατά 11 εκατ. ευρώ το</w:t>
      </w:r>
      <w:r w:rsidRPr="00420727">
        <w:rPr>
          <w:rFonts w:ascii="Calibri" w:eastAsia="Calibri" w:hAnsi="Calibri" w:cs="Calibri"/>
          <w:i w:val="0"/>
          <w:iCs w:val="0"/>
          <w:color w:val="595959"/>
          <w:sz w:val="22"/>
          <w:szCs w:val="22"/>
        </w:rPr>
        <w:t xml:space="preserve"> </w:t>
      </w:r>
      <w:r w:rsidRPr="00143A98">
        <w:rPr>
          <w:rFonts w:ascii="Calibri" w:eastAsia="Calibri" w:hAnsi="Calibri" w:cs="Calibri"/>
          <w:i w:val="0"/>
          <w:iCs w:val="0"/>
          <w:color w:val="595959"/>
          <w:sz w:val="22"/>
          <w:szCs w:val="22"/>
        </w:rPr>
        <w:t>δωδεκάμηνο του 2021 έναντι</w:t>
      </w:r>
      <w:r w:rsidRPr="00420727">
        <w:rPr>
          <w:rFonts w:ascii="Calibri" w:eastAsia="Calibri" w:hAnsi="Calibri" w:cs="Calibri"/>
          <w:i w:val="0"/>
          <w:iCs w:val="0"/>
          <w:color w:val="595959"/>
          <w:sz w:val="22"/>
          <w:szCs w:val="22"/>
        </w:rPr>
        <w:t xml:space="preserve"> </w:t>
      </w:r>
      <w:r w:rsidRPr="00143A98">
        <w:rPr>
          <w:rFonts w:ascii="Calibri" w:eastAsia="Calibri" w:hAnsi="Calibri" w:cs="Calibri"/>
          <w:i w:val="0"/>
          <w:iCs w:val="0"/>
          <w:color w:val="595959"/>
          <w:sz w:val="22"/>
          <w:szCs w:val="22"/>
        </w:rPr>
        <w:t>μεγαλύτερης</w:t>
      </w:r>
      <w:r w:rsidRPr="00420727">
        <w:rPr>
          <w:rFonts w:ascii="Calibri" w:eastAsia="Calibri" w:hAnsi="Calibri" w:cs="Calibri"/>
          <w:i w:val="0"/>
          <w:iCs w:val="0"/>
          <w:color w:val="595959"/>
          <w:sz w:val="22"/>
          <w:szCs w:val="22"/>
        </w:rPr>
        <w:t xml:space="preserve"> </w:t>
      </w:r>
      <w:r w:rsidRPr="00143A98">
        <w:rPr>
          <w:rFonts w:ascii="Calibri" w:eastAsia="Calibri" w:hAnsi="Calibri" w:cs="Calibri"/>
          <w:i w:val="0"/>
          <w:iCs w:val="0"/>
          <w:color w:val="595959"/>
          <w:sz w:val="22"/>
          <w:szCs w:val="22"/>
        </w:rPr>
        <w:t>μείωσης κατά 127</w:t>
      </w:r>
      <w:r w:rsidRPr="00420727">
        <w:rPr>
          <w:rFonts w:ascii="Calibri" w:eastAsia="Calibri" w:hAnsi="Calibri" w:cs="Calibri"/>
          <w:i w:val="0"/>
          <w:iCs w:val="0"/>
          <w:color w:val="595959"/>
          <w:sz w:val="22"/>
          <w:szCs w:val="22"/>
        </w:rPr>
        <w:t xml:space="preserve"> </w:t>
      </w:r>
      <w:r w:rsidRPr="00143A98">
        <w:rPr>
          <w:rFonts w:ascii="Calibri" w:eastAsia="Calibri" w:hAnsi="Calibri" w:cs="Calibri"/>
          <w:i w:val="0"/>
          <w:iCs w:val="0"/>
          <w:color w:val="595959"/>
          <w:sz w:val="22"/>
          <w:szCs w:val="22"/>
        </w:rPr>
        <w:t>εκατ. ευρώ το αντίστοιχο</w:t>
      </w:r>
      <w:r w:rsidRPr="00420727">
        <w:rPr>
          <w:rFonts w:ascii="Calibri" w:eastAsia="Calibri" w:hAnsi="Calibri" w:cs="Calibri"/>
          <w:i w:val="0"/>
          <w:iCs w:val="0"/>
          <w:color w:val="595959"/>
          <w:sz w:val="22"/>
          <w:szCs w:val="22"/>
        </w:rPr>
        <w:t xml:space="preserve"> </w:t>
      </w:r>
      <w:r w:rsidRPr="00143A98">
        <w:rPr>
          <w:rFonts w:ascii="Calibri" w:eastAsia="Calibri" w:hAnsi="Calibri" w:cs="Calibri"/>
          <w:i w:val="0"/>
          <w:iCs w:val="0"/>
          <w:color w:val="595959"/>
          <w:sz w:val="22"/>
          <w:szCs w:val="22"/>
        </w:rPr>
        <w:t>δωδεκάμηνο</w:t>
      </w:r>
      <w:r w:rsidRPr="00420727">
        <w:rPr>
          <w:rFonts w:ascii="Calibri" w:eastAsia="Calibri" w:hAnsi="Calibri" w:cs="Calibri"/>
          <w:i w:val="0"/>
          <w:iCs w:val="0"/>
          <w:color w:val="595959"/>
          <w:sz w:val="22"/>
          <w:szCs w:val="22"/>
        </w:rPr>
        <w:t xml:space="preserve"> </w:t>
      </w:r>
      <w:r w:rsidRPr="00143A98">
        <w:rPr>
          <w:rFonts w:ascii="Calibri" w:eastAsia="Calibri" w:hAnsi="Calibri" w:cs="Calibri"/>
          <w:i w:val="0"/>
          <w:iCs w:val="0"/>
          <w:color w:val="595959"/>
          <w:sz w:val="22"/>
          <w:szCs w:val="22"/>
        </w:rPr>
        <w:t>του 2020 είχε</w:t>
      </w:r>
      <w:r w:rsidRPr="00420727">
        <w:rPr>
          <w:rFonts w:ascii="Calibri" w:eastAsia="Calibri" w:hAnsi="Calibri" w:cs="Calibri"/>
          <w:i w:val="0"/>
          <w:iCs w:val="0"/>
          <w:color w:val="595959"/>
          <w:sz w:val="22"/>
          <w:szCs w:val="22"/>
        </w:rPr>
        <w:t xml:space="preserve"> </w:t>
      </w:r>
      <w:r w:rsidRPr="00143A98">
        <w:rPr>
          <w:rFonts w:ascii="Calibri" w:eastAsia="Calibri" w:hAnsi="Calibri" w:cs="Calibri"/>
          <w:i w:val="0"/>
          <w:iCs w:val="0"/>
          <w:color w:val="595959"/>
          <w:sz w:val="22"/>
          <w:szCs w:val="22"/>
        </w:rPr>
        <w:t>μικρότερη</w:t>
      </w:r>
      <w:r w:rsidRPr="00420727">
        <w:rPr>
          <w:rFonts w:ascii="Calibri" w:eastAsia="Calibri" w:hAnsi="Calibri" w:cs="Calibri"/>
          <w:i w:val="0"/>
          <w:iCs w:val="0"/>
          <w:color w:val="595959"/>
          <w:sz w:val="22"/>
          <w:szCs w:val="22"/>
        </w:rPr>
        <w:t xml:space="preserve"> </w:t>
      </w:r>
      <w:r w:rsidRPr="00143A98">
        <w:rPr>
          <w:rFonts w:ascii="Calibri" w:eastAsia="Calibri" w:hAnsi="Calibri" w:cs="Calibri"/>
          <w:i w:val="0"/>
          <w:iCs w:val="0"/>
          <w:color w:val="595959"/>
          <w:sz w:val="22"/>
          <w:szCs w:val="22"/>
        </w:rPr>
        <w:t>θετική επίπτωση στο</w:t>
      </w:r>
      <w:r w:rsidRPr="00420727">
        <w:rPr>
          <w:rFonts w:ascii="Calibri" w:eastAsia="Calibri" w:hAnsi="Calibri" w:cs="Calibri"/>
          <w:i w:val="0"/>
          <w:iCs w:val="0"/>
          <w:color w:val="595959"/>
          <w:sz w:val="22"/>
          <w:szCs w:val="22"/>
        </w:rPr>
        <w:t xml:space="preserve"> </w:t>
      </w:r>
      <w:r w:rsidRPr="00143A98">
        <w:rPr>
          <w:rFonts w:ascii="Calibri" w:eastAsia="Calibri" w:hAnsi="Calibri" w:cs="Calibri"/>
          <w:i w:val="0"/>
          <w:iCs w:val="0"/>
          <w:color w:val="595959"/>
          <w:sz w:val="22"/>
          <w:szCs w:val="22"/>
        </w:rPr>
        <w:t>πρωτογενές απο</w:t>
      </w:r>
      <w:r w:rsidR="00231EF2">
        <w:rPr>
          <w:rFonts w:ascii="Calibri" w:eastAsia="Calibri" w:hAnsi="Calibri" w:cs="Calibri"/>
          <w:i w:val="0"/>
          <w:iCs w:val="0"/>
          <w:color w:val="595959"/>
          <w:sz w:val="22"/>
          <w:szCs w:val="22"/>
        </w:rPr>
        <w:t>τέλεσμα της Γενικής Κυβέρνησης</w:t>
      </w:r>
      <w:r w:rsidRPr="00143A98">
        <w:rPr>
          <w:rFonts w:ascii="Calibri" w:eastAsia="Calibri" w:hAnsi="Calibri" w:cs="Calibri"/>
          <w:i w:val="0"/>
          <w:iCs w:val="0"/>
          <w:color w:val="595959"/>
          <w:sz w:val="22"/>
          <w:szCs w:val="22"/>
        </w:rPr>
        <w:t>.</w:t>
      </w:r>
    </w:p>
    <w:p w14:paraId="04E4D5A5" w14:textId="77777777" w:rsidR="005C4E43" w:rsidRPr="005C4E43" w:rsidRDefault="005C4E43" w:rsidP="005C4E43">
      <w:pPr>
        <w:spacing w:after="0"/>
      </w:pPr>
    </w:p>
    <w:p w14:paraId="59E4BD42" w14:textId="77777777" w:rsidR="005C4E43" w:rsidRDefault="005C4E43" w:rsidP="005C4E43">
      <w:pPr>
        <w:pStyle w:val="Caption"/>
        <w:keepNext/>
        <w:jc w:val="center"/>
      </w:pPr>
      <w:bookmarkStart w:id="83" w:name="_Toc98160546"/>
      <w:r>
        <w:t xml:space="preserve">Πίνακας </w:t>
      </w:r>
      <w:r w:rsidR="0059099F">
        <w:fldChar w:fldCharType="begin"/>
      </w:r>
      <w:r w:rsidR="0059099F">
        <w:instrText xml:space="preserve"> SEQ Πίνακας \* ARABIC </w:instrText>
      </w:r>
      <w:r w:rsidR="0059099F">
        <w:fldChar w:fldCharType="separate"/>
      </w:r>
      <w:r w:rsidR="003B23C4">
        <w:rPr>
          <w:noProof/>
        </w:rPr>
        <w:t>3</w:t>
      </w:r>
      <w:r w:rsidR="0059099F">
        <w:rPr>
          <w:noProof/>
        </w:rPr>
        <w:fldChar w:fldCharType="end"/>
      </w:r>
      <w:r w:rsidRPr="005C4E43">
        <w:t xml:space="preserve"> Εκτέλεση Προϋπολογισμού Γενικής Κυβέρνησης Ιανουαρίου - Δεκεμβρίου, σε εκατ. ευρώ</w:t>
      </w:r>
      <w:bookmarkEnd w:id="8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2094"/>
        <w:gridCol w:w="1113"/>
        <w:gridCol w:w="1516"/>
      </w:tblGrid>
      <w:tr w:rsidR="00AD3C3D" w:rsidRPr="00930E88" w14:paraId="5205C87D" w14:textId="77777777" w:rsidTr="003F4366">
        <w:trPr>
          <w:trHeight w:val="174"/>
          <w:jc w:val="center"/>
        </w:trPr>
        <w:tc>
          <w:tcPr>
            <w:tcW w:w="3583" w:type="dxa"/>
            <w:tcBorders>
              <w:bottom w:val="single" w:sz="4" w:space="0" w:color="auto"/>
            </w:tcBorders>
            <w:hideMark/>
          </w:tcPr>
          <w:p w14:paraId="373D6E29" w14:textId="77777777" w:rsidR="00AD3C3D" w:rsidRPr="00930E88" w:rsidRDefault="00AD3C3D" w:rsidP="003F4366">
            <w:pPr>
              <w:rPr>
                <w:rFonts w:ascii="Calibri" w:eastAsia="Calibri" w:hAnsi="Calibri" w:cs="Calibri"/>
                <w:b/>
                <w:i/>
                <w:iCs/>
                <w:color w:val="595959" w:themeColor="text1" w:themeTint="A6"/>
                <w:sz w:val="18"/>
                <w:szCs w:val="18"/>
              </w:rPr>
            </w:pPr>
          </w:p>
        </w:tc>
        <w:tc>
          <w:tcPr>
            <w:tcW w:w="2094" w:type="dxa"/>
            <w:tcBorders>
              <w:bottom w:val="single" w:sz="4" w:space="0" w:color="auto"/>
            </w:tcBorders>
            <w:vAlign w:val="center"/>
            <w:hideMark/>
          </w:tcPr>
          <w:p w14:paraId="4AB7E4EC" w14:textId="77777777" w:rsidR="00AD3C3D" w:rsidRPr="00930E88" w:rsidRDefault="00AD3C3D" w:rsidP="003F4366">
            <w:pPr>
              <w:jc w:val="center"/>
              <w:rPr>
                <w:rFonts w:ascii="Calibri" w:eastAsia="Calibri" w:hAnsi="Calibri" w:cs="Calibri"/>
                <w:b/>
                <w:color w:val="595959" w:themeColor="text1" w:themeTint="A6"/>
                <w:sz w:val="18"/>
                <w:szCs w:val="18"/>
              </w:rPr>
            </w:pPr>
            <w:r w:rsidRPr="00930E88">
              <w:rPr>
                <w:rFonts w:ascii="Calibri" w:eastAsia="Calibri" w:hAnsi="Calibri" w:cs="Calibri"/>
                <w:b/>
                <w:color w:val="595959" w:themeColor="text1" w:themeTint="A6"/>
                <w:sz w:val="18"/>
                <w:szCs w:val="18"/>
              </w:rPr>
              <w:t>2020</w:t>
            </w:r>
          </w:p>
        </w:tc>
        <w:tc>
          <w:tcPr>
            <w:tcW w:w="1113" w:type="dxa"/>
            <w:tcBorders>
              <w:bottom w:val="single" w:sz="4" w:space="0" w:color="auto"/>
            </w:tcBorders>
            <w:vAlign w:val="center"/>
            <w:hideMark/>
          </w:tcPr>
          <w:p w14:paraId="0BD61D43" w14:textId="77777777" w:rsidR="00AD3C3D" w:rsidRPr="00930E88" w:rsidRDefault="00AD3C3D" w:rsidP="003F4366">
            <w:pPr>
              <w:jc w:val="center"/>
              <w:rPr>
                <w:rFonts w:ascii="Calibri" w:eastAsia="Calibri" w:hAnsi="Calibri" w:cs="Calibri"/>
                <w:b/>
                <w:color w:val="595959" w:themeColor="text1" w:themeTint="A6"/>
                <w:sz w:val="18"/>
                <w:szCs w:val="18"/>
              </w:rPr>
            </w:pPr>
            <w:r w:rsidRPr="00930E88">
              <w:rPr>
                <w:rFonts w:ascii="Calibri" w:eastAsia="Calibri" w:hAnsi="Calibri" w:cs="Calibri"/>
                <w:b/>
                <w:color w:val="595959" w:themeColor="text1" w:themeTint="A6"/>
                <w:sz w:val="18"/>
                <w:szCs w:val="18"/>
              </w:rPr>
              <w:t>2021</w:t>
            </w:r>
          </w:p>
        </w:tc>
        <w:tc>
          <w:tcPr>
            <w:tcW w:w="1516" w:type="dxa"/>
            <w:tcBorders>
              <w:bottom w:val="single" w:sz="4" w:space="0" w:color="auto"/>
            </w:tcBorders>
            <w:vAlign w:val="center"/>
            <w:hideMark/>
          </w:tcPr>
          <w:p w14:paraId="302D398E" w14:textId="77777777" w:rsidR="00AD3C3D" w:rsidRPr="00930E88" w:rsidRDefault="00AD3C3D" w:rsidP="003F4366">
            <w:pPr>
              <w:jc w:val="center"/>
              <w:rPr>
                <w:rFonts w:ascii="Calibri" w:eastAsia="Calibri" w:hAnsi="Calibri" w:cs="Calibri"/>
                <w:b/>
                <w:color w:val="595959" w:themeColor="text1" w:themeTint="A6"/>
                <w:sz w:val="18"/>
                <w:szCs w:val="18"/>
              </w:rPr>
            </w:pPr>
            <w:r w:rsidRPr="00930E88">
              <w:rPr>
                <w:rFonts w:ascii="Calibri" w:eastAsia="Calibri" w:hAnsi="Calibri" w:cs="Calibri"/>
                <w:b/>
                <w:color w:val="595959" w:themeColor="text1" w:themeTint="A6"/>
                <w:sz w:val="18"/>
                <w:szCs w:val="18"/>
              </w:rPr>
              <w:t>Διαφορά</w:t>
            </w:r>
          </w:p>
        </w:tc>
      </w:tr>
      <w:tr w:rsidR="00AD3C3D" w:rsidRPr="00930E88" w14:paraId="08E271CC" w14:textId="77777777" w:rsidTr="003F4366">
        <w:trPr>
          <w:trHeight w:val="117"/>
          <w:jc w:val="center"/>
        </w:trPr>
        <w:tc>
          <w:tcPr>
            <w:tcW w:w="8306" w:type="dxa"/>
            <w:gridSpan w:val="4"/>
            <w:tcBorders>
              <w:top w:val="single" w:sz="4" w:space="0" w:color="auto"/>
              <w:left w:val="single" w:sz="4" w:space="0" w:color="auto"/>
              <w:right w:val="single" w:sz="4" w:space="0" w:color="auto"/>
            </w:tcBorders>
            <w:hideMark/>
          </w:tcPr>
          <w:p w14:paraId="42E93D53" w14:textId="77777777" w:rsidR="00AD3C3D" w:rsidRPr="00930E88" w:rsidRDefault="00AD3C3D" w:rsidP="003F4366">
            <w:pPr>
              <w:jc w:val="cente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Κρατικός Προϋπολογισμός</w:t>
            </w:r>
          </w:p>
        </w:tc>
      </w:tr>
      <w:tr w:rsidR="00AD3C3D" w:rsidRPr="00930E88" w14:paraId="71F92D8A" w14:textId="77777777" w:rsidTr="003F4366">
        <w:trPr>
          <w:trHeight w:val="316"/>
          <w:jc w:val="center"/>
        </w:trPr>
        <w:tc>
          <w:tcPr>
            <w:tcW w:w="3583" w:type="dxa"/>
            <w:tcBorders>
              <w:left w:val="single" w:sz="4" w:space="0" w:color="auto"/>
            </w:tcBorders>
            <w:vAlign w:val="center"/>
            <w:hideMark/>
          </w:tcPr>
          <w:p w14:paraId="72344E03" w14:textId="77777777" w:rsidR="00AD3C3D" w:rsidRPr="00930E88" w:rsidRDefault="00AD3C3D" w:rsidP="003F4366">
            <w:pP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Καθαρά Έσοδα Κρατικού Προϋπολογισμού</w:t>
            </w:r>
          </w:p>
        </w:tc>
        <w:tc>
          <w:tcPr>
            <w:tcW w:w="2094" w:type="dxa"/>
            <w:tcBorders>
              <w:top w:val="nil"/>
              <w:left w:val="nil"/>
              <w:bottom w:val="nil"/>
              <w:right w:val="nil"/>
            </w:tcBorders>
            <w:shd w:val="clear" w:color="auto" w:fill="auto"/>
            <w:noWrap/>
            <w:vAlign w:val="center"/>
          </w:tcPr>
          <w:p w14:paraId="5BA1BE0D"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47.364</w:t>
            </w:r>
          </w:p>
        </w:tc>
        <w:tc>
          <w:tcPr>
            <w:tcW w:w="1113" w:type="dxa"/>
            <w:tcBorders>
              <w:top w:val="nil"/>
              <w:left w:val="nil"/>
              <w:bottom w:val="nil"/>
              <w:right w:val="nil"/>
            </w:tcBorders>
            <w:shd w:val="clear" w:color="auto" w:fill="auto"/>
            <w:noWrap/>
            <w:vAlign w:val="center"/>
          </w:tcPr>
          <w:p w14:paraId="6704E764"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54.878</w:t>
            </w:r>
          </w:p>
        </w:tc>
        <w:tc>
          <w:tcPr>
            <w:tcW w:w="1516" w:type="dxa"/>
            <w:tcBorders>
              <w:top w:val="nil"/>
              <w:left w:val="nil"/>
              <w:bottom w:val="nil"/>
              <w:right w:val="single" w:sz="4" w:space="0" w:color="auto"/>
            </w:tcBorders>
            <w:shd w:val="clear" w:color="auto" w:fill="auto"/>
            <w:noWrap/>
            <w:vAlign w:val="center"/>
          </w:tcPr>
          <w:p w14:paraId="422DCC08"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7.514</w:t>
            </w:r>
          </w:p>
        </w:tc>
      </w:tr>
      <w:tr w:rsidR="00AD3C3D" w:rsidRPr="00930E88" w14:paraId="1A379603" w14:textId="77777777" w:rsidTr="003F4366">
        <w:trPr>
          <w:trHeight w:val="300"/>
          <w:jc w:val="center"/>
        </w:trPr>
        <w:tc>
          <w:tcPr>
            <w:tcW w:w="3583" w:type="dxa"/>
            <w:tcBorders>
              <w:left w:val="single" w:sz="4" w:space="0" w:color="auto"/>
            </w:tcBorders>
            <w:vAlign w:val="center"/>
            <w:hideMark/>
          </w:tcPr>
          <w:p w14:paraId="7F54F0C7" w14:textId="77777777" w:rsidR="00AD3C3D" w:rsidRPr="00930E88" w:rsidRDefault="00AD3C3D" w:rsidP="003F4366">
            <w:pPr>
              <w:rPr>
                <w:rFonts w:ascii="Calibri" w:eastAsia="Calibri" w:hAnsi="Calibri" w:cs="Calibri"/>
                <w:color w:val="595959" w:themeColor="text1" w:themeTint="A6"/>
                <w:sz w:val="18"/>
                <w:szCs w:val="18"/>
              </w:rPr>
            </w:pPr>
            <w:r w:rsidRPr="00930E88">
              <w:rPr>
                <w:rFonts w:ascii="Calibri" w:eastAsia="Calibri" w:hAnsi="Calibri" w:cs="Calibri"/>
                <w:color w:val="595959" w:themeColor="text1" w:themeTint="A6"/>
                <w:sz w:val="18"/>
                <w:szCs w:val="18"/>
              </w:rPr>
              <w:t>Φορολογικά Έσοδα</w:t>
            </w:r>
          </w:p>
        </w:tc>
        <w:tc>
          <w:tcPr>
            <w:tcW w:w="2094" w:type="dxa"/>
            <w:tcBorders>
              <w:top w:val="nil"/>
              <w:left w:val="nil"/>
              <w:bottom w:val="nil"/>
              <w:right w:val="nil"/>
            </w:tcBorders>
            <w:shd w:val="clear" w:color="auto" w:fill="auto"/>
            <w:noWrap/>
            <w:vAlign w:val="center"/>
          </w:tcPr>
          <w:p w14:paraId="78A606FD"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43.198</w:t>
            </w:r>
          </w:p>
        </w:tc>
        <w:tc>
          <w:tcPr>
            <w:tcW w:w="1113" w:type="dxa"/>
            <w:tcBorders>
              <w:top w:val="nil"/>
              <w:left w:val="nil"/>
              <w:bottom w:val="nil"/>
              <w:right w:val="nil"/>
            </w:tcBorders>
            <w:shd w:val="clear" w:color="auto" w:fill="auto"/>
            <w:noWrap/>
            <w:vAlign w:val="center"/>
          </w:tcPr>
          <w:p w14:paraId="14670C20"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48.126</w:t>
            </w:r>
          </w:p>
        </w:tc>
        <w:tc>
          <w:tcPr>
            <w:tcW w:w="1516" w:type="dxa"/>
            <w:tcBorders>
              <w:top w:val="nil"/>
              <w:left w:val="nil"/>
              <w:bottom w:val="nil"/>
              <w:right w:val="single" w:sz="4" w:space="0" w:color="auto"/>
            </w:tcBorders>
            <w:shd w:val="clear" w:color="auto" w:fill="auto"/>
            <w:noWrap/>
            <w:vAlign w:val="center"/>
          </w:tcPr>
          <w:p w14:paraId="5048F6F9"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4.928</w:t>
            </w:r>
          </w:p>
        </w:tc>
      </w:tr>
      <w:tr w:rsidR="00AD3C3D" w:rsidRPr="00930E88" w14:paraId="1BA1A731" w14:textId="77777777" w:rsidTr="003F4366">
        <w:trPr>
          <w:trHeight w:val="300"/>
          <w:jc w:val="center"/>
        </w:trPr>
        <w:tc>
          <w:tcPr>
            <w:tcW w:w="3583" w:type="dxa"/>
            <w:tcBorders>
              <w:left w:val="single" w:sz="4" w:space="0" w:color="auto"/>
            </w:tcBorders>
            <w:vAlign w:val="center"/>
            <w:hideMark/>
          </w:tcPr>
          <w:p w14:paraId="6182A59D" w14:textId="77777777" w:rsidR="00AD3C3D" w:rsidRPr="00930E88" w:rsidRDefault="00AD3C3D" w:rsidP="003F4366">
            <w:pPr>
              <w:rPr>
                <w:rFonts w:ascii="Calibri" w:eastAsia="Calibri" w:hAnsi="Calibri" w:cs="Calibri"/>
                <w:color w:val="595959" w:themeColor="text1" w:themeTint="A6"/>
                <w:sz w:val="18"/>
                <w:szCs w:val="18"/>
              </w:rPr>
            </w:pPr>
            <w:r w:rsidRPr="00930E88">
              <w:rPr>
                <w:rFonts w:ascii="Calibri" w:eastAsia="Calibri" w:hAnsi="Calibri" w:cs="Calibri"/>
                <w:color w:val="595959" w:themeColor="text1" w:themeTint="A6"/>
                <w:sz w:val="18"/>
                <w:szCs w:val="18"/>
              </w:rPr>
              <w:t xml:space="preserve">Μη Φορολογικά και μη Τακτικά Έσοδα </w:t>
            </w:r>
          </w:p>
        </w:tc>
        <w:tc>
          <w:tcPr>
            <w:tcW w:w="2094" w:type="dxa"/>
            <w:tcBorders>
              <w:top w:val="nil"/>
              <w:left w:val="nil"/>
              <w:bottom w:val="nil"/>
              <w:right w:val="nil"/>
            </w:tcBorders>
            <w:shd w:val="clear" w:color="auto" w:fill="auto"/>
            <w:noWrap/>
            <w:vAlign w:val="center"/>
          </w:tcPr>
          <w:p w14:paraId="6C185E89"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4.296</w:t>
            </w:r>
          </w:p>
        </w:tc>
        <w:tc>
          <w:tcPr>
            <w:tcW w:w="1113" w:type="dxa"/>
            <w:tcBorders>
              <w:top w:val="nil"/>
              <w:left w:val="nil"/>
              <w:bottom w:val="nil"/>
              <w:right w:val="nil"/>
            </w:tcBorders>
            <w:shd w:val="clear" w:color="auto" w:fill="auto"/>
            <w:noWrap/>
            <w:vAlign w:val="center"/>
          </w:tcPr>
          <w:p w14:paraId="7DEF9A30"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7.287</w:t>
            </w:r>
          </w:p>
        </w:tc>
        <w:tc>
          <w:tcPr>
            <w:tcW w:w="1516" w:type="dxa"/>
            <w:tcBorders>
              <w:top w:val="nil"/>
              <w:left w:val="nil"/>
              <w:bottom w:val="nil"/>
              <w:right w:val="single" w:sz="4" w:space="0" w:color="auto"/>
            </w:tcBorders>
            <w:shd w:val="clear" w:color="auto" w:fill="auto"/>
            <w:noWrap/>
            <w:vAlign w:val="center"/>
          </w:tcPr>
          <w:p w14:paraId="6BFB1D58"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2.991</w:t>
            </w:r>
          </w:p>
        </w:tc>
      </w:tr>
      <w:tr w:rsidR="00AD3C3D" w:rsidRPr="00930E88" w14:paraId="64BAD08F" w14:textId="77777777" w:rsidTr="003F4366">
        <w:trPr>
          <w:trHeight w:val="300"/>
          <w:jc w:val="center"/>
        </w:trPr>
        <w:tc>
          <w:tcPr>
            <w:tcW w:w="3583" w:type="dxa"/>
            <w:tcBorders>
              <w:left w:val="single" w:sz="4" w:space="0" w:color="auto"/>
            </w:tcBorders>
            <w:vAlign w:val="center"/>
            <w:hideMark/>
          </w:tcPr>
          <w:p w14:paraId="2397BDC5" w14:textId="77777777" w:rsidR="00AD3C3D" w:rsidRPr="00930E88" w:rsidRDefault="00AD3C3D" w:rsidP="003F4366">
            <w:pPr>
              <w:rPr>
                <w:rFonts w:ascii="Calibri" w:eastAsia="Calibri" w:hAnsi="Calibri" w:cs="Calibri"/>
                <w:color w:val="595959" w:themeColor="text1" w:themeTint="A6"/>
                <w:sz w:val="18"/>
                <w:szCs w:val="18"/>
              </w:rPr>
            </w:pPr>
            <w:r w:rsidRPr="00930E88">
              <w:rPr>
                <w:rFonts w:ascii="Calibri" w:eastAsia="Calibri" w:hAnsi="Calibri" w:cs="Calibri"/>
                <w:color w:val="595959" w:themeColor="text1" w:themeTint="A6"/>
                <w:sz w:val="18"/>
                <w:szCs w:val="18"/>
              </w:rPr>
              <w:t>Επιστροφές φόρων</w:t>
            </w:r>
          </w:p>
        </w:tc>
        <w:tc>
          <w:tcPr>
            <w:tcW w:w="2094" w:type="dxa"/>
            <w:tcBorders>
              <w:top w:val="nil"/>
              <w:left w:val="nil"/>
              <w:bottom w:val="nil"/>
              <w:right w:val="nil"/>
            </w:tcBorders>
            <w:shd w:val="clear" w:color="auto" w:fill="auto"/>
            <w:noWrap/>
            <w:vAlign w:val="center"/>
          </w:tcPr>
          <w:p w14:paraId="0F580689"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5.672</w:t>
            </w:r>
          </w:p>
        </w:tc>
        <w:tc>
          <w:tcPr>
            <w:tcW w:w="1113" w:type="dxa"/>
            <w:tcBorders>
              <w:top w:val="nil"/>
              <w:left w:val="nil"/>
              <w:bottom w:val="nil"/>
              <w:right w:val="nil"/>
            </w:tcBorders>
            <w:shd w:val="clear" w:color="auto" w:fill="auto"/>
            <w:noWrap/>
            <w:vAlign w:val="center"/>
          </w:tcPr>
          <w:p w14:paraId="3EFF72B0"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5.103</w:t>
            </w:r>
          </w:p>
        </w:tc>
        <w:tc>
          <w:tcPr>
            <w:tcW w:w="1516" w:type="dxa"/>
            <w:tcBorders>
              <w:top w:val="nil"/>
              <w:left w:val="nil"/>
              <w:bottom w:val="nil"/>
              <w:right w:val="single" w:sz="4" w:space="0" w:color="auto"/>
            </w:tcBorders>
            <w:shd w:val="clear" w:color="auto" w:fill="auto"/>
            <w:noWrap/>
            <w:vAlign w:val="center"/>
          </w:tcPr>
          <w:p w14:paraId="68DF9743"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-569</w:t>
            </w:r>
          </w:p>
        </w:tc>
      </w:tr>
      <w:tr w:rsidR="00AD3C3D" w:rsidRPr="00930E88" w14:paraId="6CDBC6C6" w14:textId="77777777" w:rsidTr="003F4366">
        <w:trPr>
          <w:trHeight w:val="300"/>
          <w:jc w:val="center"/>
        </w:trPr>
        <w:tc>
          <w:tcPr>
            <w:tcW w:w="3583" w:type="dxa"/>
            <w:tcBorders>
              <w:left w:val="single" w:sz="4" w:space="0" w:color="auto"/>
            </w:tcBorders>
            <w:vAlign w:val="center"/>
            <w:hideMark/>
          </w:tcPr>
          <w:p w14:paraId="6DDFFB60" w14:textId="77777777" w:rsidR="00AD3C3D" w:rsidRPr="00930E88" w:rsidRDefault="00AD3C3D" w:rsidP="003F4366">
            <w:pPr>
              <w:rPr>
                <w:rFonts w:ascii="Calibri" w:eastAsia="Calibri" w:hAnsi="Calibri" w:cs="Calibri"/>
                <w:color w:val="595959" w:themeColor="text1" w:themeTint="A6"/>
                <w:sz w:val="18"/>
                <w:szCs w:val="18"/>
              </w:rPr>
            </w:pPr>
            <w:r w:rsidRPr="00930E88">
              <w:rPr>
                <w:rFonts w:ascii="Calibri" w:eastAsia="Calibri" w:hAnsi="Calibri" w:cs="Calibri"/>
                <w:color w:val="595959" w:themeColor="text1" w:themeTint="A6"/>
                <w:sz w:val="18"/>
                <w:szCs w:val="18"/>
              </w:rPr>
              <w:t>Έσοδα ΠΔΕ</w:t>
            </w:r>
          </w:p>
        </w:tc>
        <w:tc>
          <w:tcPr>
            <w:tcW w:w="2094" w:type="dxa"/>
            <w:tcBorders>
              <w:top w:val="nil"/>
              <w:left w:val="nil"/>
              <w:bottom w:val="nil"/>
              <w:right w:val="nil"/>
            </w:tcBorders>
            <w:shd w:val="clear" w:color="auto" w:fill="auto"/>
            <w:noWrap/>
            <w:vAlign w:val="center"/>
          </w:tcPr>
          <w:p w14:paraId="44BB94A0"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5.542</w:t>
            </w:r>
          </w:p>
        </w:tc>
        <w:tc>
          <w:tcPr>
            <w:tcW w:w="1113" w:type="dxa"/>
            <w:tcBorders>
              <w:top w:val="nil"/>
              <w:left w:val="nil"/>
              <w:bottom w:val="nil"/>
              <w:right w:val="nil"/>
            </w:tcBorders>
            <w:shd w:val="clear" w:color="auto" w:fill="auto"/>
            <w:noWrap/>
            <w:vAlign w:val="center"/>
          </w:tcPr>
          <w:p w14:paraId="6B41969D"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4.569</w:t>
            </w:r>
          </w:p>
        </w:tc>
        <w:tc>
          <w:tcPr>
            <w:tcW w:w="1516" w:type="dxa"/>
            <w:tcBorders>
              <w:top w:val="nil"/>
              <w:left w:val="nil"/>
              <w:bottom w:val="nil"/>
              <w:right w:val="single" w:sz="4" w:space="0" w:color="auto"/>
            </w:tcBorders>
            <w:shd w:val="clear" w:color="auto" w:fill="auto"/>
            <w:noWrap/>
            <w:vAlign w:val="center"/>
          </w:tcPr>
          <w:p w14:paraId="4E3BF2BB"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-973</w:t>
            </w:r>
          </w:p>
        </w:tc>
      </w:tr>
      <w:tr w:rsidR="00AD3C3D" w:rsidRPr="00930E88" w14:paraId="2E355575" w14:textId="77777777" w:rsidTr="003F4366">
        <w:trPr>
          <w:trHeight w:val="322"/>
          <w:jc w:val="center"/>
        </w:trPr>
        <w:tc>
          <w:tcPr>
            <w:tcW w:w="3583" w:type="dxa"/>
            <w:tcBorders>
              <w:left w:val="single" w:sz="4" w:space="0" w:color="auto"/>
            </w:tcBorders>
            <w:vAlign w:val="center"/>
            <w:hideMark/>
          </w:tcPr>
          <w:p w14:paraId="466587C6" w14:textId="77777777" w:rsidR="00AD3C3D" w:rsidRPr="00930E88" w:rsidRDefault="00AD3C3D" w:rsidP="003F4366">
            <w:pP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Δαπάνες Κρατικού Προϋπολογισμού</w:t>
            </w:r>
          </w:p>
        </w:tc>
        <w:tc>
          <w:tcPr>
            <w:tcW w:w="2094" w:type="dxa"/>
            <w:tcBorders>
              <w:top w:val="nil"/>
              <w:left w:val="nil"/>
              <w:bottom w:val="nil"/>
              <w:right w:val="nil"/>
            </w:tcBorders>
            <w:shd w:val="clear" w:color="auto" w:fill="auto"/>
            <w:noWrap/>
            <w:vAlign w:val="center"/>
          </w:tcPr>
          <w:p w14:paraId="40169BDC"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70.169</w:t>
            </w:r>
          </w:p>
        </w:tc>
        <w:tc>
          <w:tcPr>
            <w:tcW w:w="1113" w:type="dxa"/>
            <w:tcBorders>
              <w:top w:val="nil"/>
              <w:left w:val="nil"/>
              <w:bottom w:val="nil"/>
              <w:right w:val="nil"/>
            </w:tcBorders>
            <w:shd w:val="clear" w:color="auto" w:fill="auto"/>
            <w:noWrap/>
            <w:vAlign w:val="center"/>
          </w:tcPr>
          <w:p w14:paraId="3E661419"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69.750</w:t>
            </w:r>
          </w:p>
        </w:tc>
        <w:tc>
          <w:tcPr>
            <w:tcW w:w="1516" w:type="dxa"/>
            <w:tcBorders>
              <w:top w:val="nil"/>
              <w:left w:val="nil"/>
              <w:bottom w:val="nil"/>
              <w:right w:val="single" w:sz="4" w:space="0" w:color="auto"/>
            </w:tcBorders>
            <w:shd w:val="clear" w:color="auto" w:fill="auto"/>
            <w:noWrap/>
            <w:vAlign w:val="center"/>
          </w:tcPr>
          <w:p w14:paraId="6D1DE05E"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-420</w:t>
            </w:r>
          </w:p>
        </w:tc>
      </w:tr>
      <w:tr w:rsidR="00AD3C3D" w:rsidRPr="00930E88" w14:paraId="0B93E267" w14:textId="77777777" w:rsidTr="003F4366">
        <w:trPr>
          <w:trHeight w:val="257"/>
          <w:jc w:val="center"/>
        </w:trPr>
        <w:tc>
          <w:tcPr>
            <w:tcW w:w="3583" w:type="dxa"/>
            <w:tcBorders>
              <w:left w:val="single" w:sz="4" w:space="0" w:color="auto"/>
            </w:tcBorders>
            <w:vAlign w:val="center"/>
            <w:hideMark/>
          </w:tcPr>
          <w:p w14:paraId="4F1C4524" w14:textId="77777777" w:rsidR="00AD3C3D" w:rsidRPr="00930E88" w:rsidRDefault="00AD3C3D" w:rsidP="003F4366">
            <w:pPr>
              <w:rPr>
                <w:rFonts w:ascii="Calibri" w:eastAsia="Calibri" w:hAnsi="Calibri" w:cs="Calibri"/>
                <w:color w:val="595959" w:themeColor="text1" w:themeTint="A6"/>
                <w:sz w:val="18"/>
                <w:szCs w:val="18"/>
              </w:rPr>
            </w:pPr>
            <w:r w:rsidRPr="00930E88">
              <w:rPr>
                <w:rFonts w:ascii="Calibri" w:eastAsia="Calibri" w:hAnsi="Calibri" w:cs="Calibri"/>
                <w:color w:val="595959" w:themeColor="text1" w:themeTint="A6"/>
                <w:sz w:val="18"/>
                <w:szCs w:val="18"/>
              </w:rPr>
              <w:t>Πρωτογενείς δαπάνες τακτικού</w:t>
            </w:r>
          </w:p>
        </w:tc>
        <w:tc>
          <w:tcPr>
            <w:tcW w:w="2094" w:type="dxa"/>
            <w:tcBorders>
              <w:top w:val="nil"/>
              <w:left w:val="nil"/>
              <w:bottom w:val="nil"/>
              <w:right w:val="nil"/>
            </w:tcBorders>
            <w:shd w:val="clear" w:color="auto" w:fill="auto"/>
            <w:noWrap/>
            <w:vAlign w:val="center"/>
          </w:tcPr>
          <w:p w14:paraId="0A95558A"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54.749</w:t>
            </w:r>
          </w:p>
        </w:tc>
        <w:tc>
          <w:tcPr>
            <w:tcW w:w="1113" w:type="dxa"/>
            <w:tcBorders>
              <w:top w:val="nil"/>
              <w:left w:val="nil"/>
              <w:bottom w:val="nil"/>
              <w:right w:val="nil"/>
            </w:tcBorders>
            <w:shd w:val="clear" w:color="auto" w:fill="auto"/>
            <w:noWrap/>
            <w:vAlign w:val="center"/>
          </w:tcPr>
          <w:p w14:paraId="1DFF5259"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55.876</w:t>
            </w:r>
          </w:p>
        </w:tc>
        <w:tc>
          <w:tcPr>
            <w:tcW w:w="1516" w:type="dxa"/>
            <w:tcBorders>
              <w:top w:val="nil"/>
              <w:left w:val="nil"/>
              <w:bottom w:val="nil"/>
              <w:right w:val="single" w:sz="4" w:space="0" w:color="auto"/>
            </w:tcBorders>
            <w:shd w:val="clear" w:color="auto" w:fill="auto"/>
            <w:noWrap/>
            <w:vAlign w:val="center"/>
          </w:tcPr>
          <w:p w14:paraId="6706D12F"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1.127</w:t>
            </w:r>
          </w:p>
        </w:tc>
      </w:tr>
      <w:tr w:rsidR="00AD3C3D" w:rsidRPr="00930E88" w14:paraId="724AB90E" w14:textId="77777777" w:rsidTr="003F4366">
        <w:trPr>
          <w:trHeight w:val="300"/>
          <w:jc w:val="center"/>
        </w:trPr>
        <w:tc>
          <w:tcPr>
            <w:tcW w:w="3583" w:type="dxa"/>
            <w:tcBorders>
              <w:left w:val="single" w:sz="4" w:space="0" w:color="auto"/>
            </w:tcBorders>
            <w:vAlign w:val="center"/>
            <w:hideMark/>
          </w:tcPr>
          <w:p w14:paraId="4361333A" w14:textId="77777777" w:rsidR="00AD3C3D" w:rsidRPr="00930E88" w:rsidRDefault="00AD3C3D" w:rsidP="003F4366">
            <w:pPr>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Τόκοι</w:t>
            </w:r>
          </w:p>
        </w:tc>
        <w:tc>
          <w:tcPr>
            <w:tcW w:w="2094" w:type="dxa"/>
            <w:tcBorders>
              <w:top w:val="nil"/>
              <w:left w:val="nil"/>
              <w:bottom w:val="nil"/>
              <w:right w:val="nil"/>
            </w:tcBorders>
            <w:shd w:val="clear" w:color="auto" w:fill="auto"/>
            <w:noWrap/>
            <w:vAlign w:val="center"/>
          </w:tcPr>
          <w:p w14:paraId="02F71F8D"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4.774</w:t>
            </w:r>
          </w:p>
        </w:tc>
        <w:tc>
          <w:tcPr>
            <w:tcW w:w="1113" w:type="dxa"/>
            <w:tcBorders>
              <w:top w:val="nil"/>
              <w:left w:val="nil"/>
              <w:bottom w:val="nil"/>
              <w:right w:val="nil"/>
            </w:tcBorders>
            <w:shd w:val="clear" w:color="auto" w:fill="auto"/>
            <w:noWrap/>
            <w:vAlign w:val="center"/>
          </w:tcPr>
          <w:p w14:paraId="5D8211C7"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4.873</w:t>
            </w:r>
          </w:p>
        </w:tc>
        <w:tc>
          <w:tcPr>
            <w:tcW w:w="1516" w:type="dxa"/>
            <w:tcBorders>
              <w:top w:val="nil"/>
              <w:left w:val="nil"/>
              <w:bottom w:val="nil"/>
              <w:right w:val="single" w:sz="4" w:space="0" w:color="auto"/>
            </w:tcBorders>
            <w:shd w:val="clear" w:color="auto" w:fill="auto"/>
            <w:noWrap/>
            <w:vAlign w:val="center"/>
          </w:tcPr>
          <w:p w14:paraId="61F0E9EB"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100</w:t>
            </w:r>
          </w:p>
        </w:tc>
      </w:tr>
      <w:tr w:rsidR="00AD3C3D" w:rsidRPr="00930E88" w14:paraId="58383B71" w14:textId="77777777" w:rsidTr="003F4366">
        <w:trPr>
          <w:trHeight w:val="251"/>
          <w:jc w:val="center"/>
        </w:trPr>
        <w:tc>
          <w:tcPr>
            <w:tcW w:w="3583" w:type="dxa"/>
            <w:tcBorders>
              <w:left w:val="single" w:sz="4" w:space="0" w:color="auto"/>
              <w:bottom w:val="single" w:sz="4" w:space="0" w:color="auto"/>
            </w:tcBorders>
            <w:vAlign w:val="center"/>
            <w:hideMark/>
          </w:tcPr>
          <w:p w14:paraId="37AA4260" w14:textId="77777777" w:rsidR="00AD3C3D" w:rsidRPr="00930E88" w:rsidRDefault="00AD3C3D" w:rsidP="003F4366">
            <w:pPr>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Δαπάνες ΠΔΕ και Ταμείου Ανάκαμψης &amp; Ανθεκτικότητας</w:t>
            </w:r>
          </w:p>
        </w:tc>
        <w:tc>
          <w:tcPr>
            <w:tcW w:w="2094" w:type="dxa"/>
            <w:tcBorders>
              <w:top w:val="nil"/>
              <w:left w:val="nil"/>
              <w:bottom w:val="single" w:sz="4" w:space="0" w:color="auto"/>
              <w:right w:val="nil"/>
            </w:tcBorders>
            <w:shd w:val="clear" w:color="auto" w:fill="auto"/>
            <w:noWrap/>
            <w:vAlign w:val="center"/>
          </w:tcPr>
          <w:p w14:paraId="19C1331F"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10.647</w:t>
            </w:r>
          </w:p>
        </w:tc>
        <w:tc>
          <w:tcPr>
            <w:tcW w:w="1113" w:type="dxa"/>
            <w:tcBorders>
              <w:top w:val="nil"/>
              <w:left w:val="nil"/>
              <w:bottom w:val="single" w:sz="4" w:space="0" w:color="auto"/>
              <w:right w:val="nil"/>
            </w:tcBorders>
            <w:shd w:val="clear" w:color="auto" w:fill="auto"/>
            <w:noWrap/>
            <w:vAlign w:val="center"/>
          </w:tcPr>
          <w:p w14:paraId="23D2E25D"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9.001</w:t>
            </w:r>
          </w:p>
        </w:tc>
        <w:tc>
          <w:tcPr>
            <w:tcW w:w="1516" w:type="dxa"/>
            <w:tcBorders>
              <w:top w:val="nil"/>
              <w:left w:val="nil"/>
              <w:bottom w:val="single" w:sz="4" w:space="0" w:color="auto"/>
              <w:right w:val="single" w:sz="4" w:space="0" w:color="auto"/>
            </w:tcBorders>
            <w:shd w:val="clear" w:color="auto" w:fill="auto"/>
            <w:noWrap/>
            <w:vAlign w:val="center"/>
          </w:tcPr>
          <w:p w14:paraId="6C42C2CE"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-1.646</w:t>
            </w:r>
          </w:p>
        </w:tc>
      </w:tr>
      <w:tr w:rsidR="00AD3C3D" w:rsidRPr="00930E88" w14:paraId="46146663" w14:textId="77777777" w:rsidTr="003F4366">
        <w:trPr>
          <w:trHeight w:val="551"/>
          <w:jc w:val="center"/>
        </w:trPr>
        <w:tc>
          <w:tcPr>
            <w:tcW w:w="3583" w:type="dxa"/>
            <w:tcBorders>
              <w:top w:val="single" w:sz="4" w:space="0" w:color="auto"/>
              <w:left w:val="single" w:sz="4" w:space="0" w:color="auto"/>
              <w:bottom w:val="single" w:sz="4" w:space="0" w:color="auto"/>
            </w:tcBorders>
            <w:vAlign w:val="center"/>
            <w:hideMark/>
          </w:tcPr>
          <w:p w14:paraId="004D3965" w14:textId="77777777" w:rsidR="00AD3C3D" w:rsidRPr="00930E88" w:rsidRDefault="00AD3C3D" w:rsidP="003F4366">
            <w:pP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Πρωτογενές αποτέλεσμα Κρατικού Προϋπολογισμού</w:t>
            </w:r>
          </w:p>
        </w:tc>
        <w:tc>
          <w:tcPr>
            <w:tcW w:w="2094" w:type="dxa"/>
            <w:tcBorders>
              <w:top w:val="single" w:sz="4" w:space="0" w:color="auto"/>
              <w:left w:val="nil"/>
              <w:bottom w:val="single" w:sz="4" w:space="0" w:color="auto"/>
              <w:right w:val="nil"/>
            </w:tcBorders>
            <w:shd w:val="clear" w:color="auto" w:fill="auto"/>
            <w:noWrap/>
            <w:vAlign w:val="center"/>
          </w:tcPr>
          <w:p w14:paraId="2D9F74EA"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-18.195</w:t>
            </w:r>
          </w:p>
        </w:tc>
        <w:tc>
          <w:tcPr>
            <w:tcW w:w="1113" w:type="dxa"/>
            <w:tcBorders>
              <w:top w:val="single" w:sz="4" w:space="0" w:color="auto"/>
              <w:left w:val="nil"/>
              <w:bottom w:val="single" w:sz="4" w:space="0" w:color="auto"/>
              <w:right w:val="nil"/>
            </w:tcBorders>
            <w:shd w:val="clear" w:color="auto" w:fill="auto"/>
            <w:noWrap/>
            <w:vAlign w:val="center"/>
          </w:tcPr>
          <w:p w14:paraId="595508B4"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-10.327</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2E3BC57F"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7.868</w:t>
            </w:r>
          </w:p>
        </w:tc>
      </w:tr>
      <w:tr w:rsidR="00AD3C3D" w:rsidRPr="00930E88" w14:paraId="4115E788" w14:textId="77777777" w:rsidTr="003F4366">
        <w:trPr>
          <w:trHeight w:val="275"/>
          <w:jc w:val="center"/>
        </w:trPr>
        <w:tc>
          <w:tcPr>
            <w:tcW w:w="8306" w:type="dxa"/>
            <w:gridSpan w:val="4"/>
            <w:tcBorders>
              <w:top w:val="single" w:sz="4" w:space="0" w:color="auto"/>
              <w:left w:val="single" w:sz="4" w:space="0" w:color="auto"/>
              <w:right w:val="single" w:sz="4" w:space="0" w:color="auto"/>
            </w:tcBorders>
            <w:noWrap/>
            <w:vAlign w:val="center"/>
            <w:hideMark/>
          </w:tcPr>
          <w:p w14:paraId="17A8C839" w14:textId="77777777" w:rsidR="00AD3C3D" w:rsidRPr="00930E88" w:rsidRDefault="00AD3C3D" w:rsidP="003F4366">
            <w:pPr>
              <w:jc w:val="cente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Νομικά Πρόσωπα εκτός Κρατικού Προϋπολογισμού</w:t>
            </w:r>
          </w:p>
        </w:tc>
      </w:tr>
      <w:tr w:rsidR="00AD3C3D" w:rsidRPr="00930E88" w14:paraId="2FF6A40F" w14:textId="77777777" w:rsidTr="003F4366">
        <w:trPr>
          <w:trHeight w:val="288"/>
          <w:jc w:val="center"/>
        </w:trPr>
        <w:tc>
          <w:tcPr>
            <w:tcW w:w="3583" w:type="dxa"/>
            <w:tcBorders>
              <w:left w:val="single" w:sz="4" w:space="0" w:color="auto"/>
            </w:tcBorders>
            <w:noWrap/>
            <w:vAlign w:val="center"/>
            <w:hideMark/>
          </w:tcPr>
          <w:p w14:paraId="0060286C" w14:textId="77777777" w:rsidR="00AD3C3D" w:rsidRPr="00930E88" w:rsidRDefault="00AD3C3D" w:rsidP="003F4366">
            <w:pPr>
              <w:tabs>
                <w:tab w:val="center" w:pos="1732"/>
              </w:tabs>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Έσοδα</w:t>
            </w:r>
          </w:p>
        </w:tc>
        <w:tc>
          <w:tcPr>
            <w:tcW w:w="2094" w:type="dxa"/>
            <w:tcBorders>
              <w:top w:val="nil"/>
              <w:left w:val="nil"/>
              <w:bottom w:val="nil"/>
              <w:right w:val="nil"/>
            </w:tcBorders>
            <w:shd w:val="clear" w:color="auto" w:fill="auto"/>
            <w:noWrap/>
            <w:vAlign w:val="center"/>
          </w:tcPr>
          <w:p w14:paraId="03FB6CD0"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17.863</w:t>
            </w:r>
          </w:p>
        </w:tc>
        <w:tc>
          <w:tcPr>
            <w:tcW w:w="1113" w:type="dxa"/>
            <w:tcBorders>
              <w:top w:val="nil"/>
              <w:left w:val="nil"/>
              <w:bottom w:val="nil"/>
              <w:right w:val="nil"/>
            </w:tcBorders>
            <w:shd w:val="clear" w:color="auto" w:fill="auto"/>
            <w:noWrap/>
            <w:vAlign w:val="center"/>
          </w:tcPr>
          <w:p w14:paraId="5F8A162B"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14.412</w:t>
            </w:r>
          </w:p>
        </w:tc>
        <w:tc>
          <w:tcPr>
            <w:tcW w:w="1516" w:type="dxa"/>
            <w:tcBorders>
              <w:top w:val="nil"/>
              <w:left w:val="nil"/>
              <w:bottom w:val="nil"/>
              <w:right w:val="single" w:sz="4" w:space="0" w:color="auto"/>
            </w:tcBorders>
            <w:shd w:val="clear" w:color="auto" w:fill="auto"/>
            <w:noWrap/>
            <w:vAlign w:val="center"/>
          </w:tcPr>
          <w:p w14:paraId="4F815715"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-3.450</w:t>
            </w:r>
          </w:p>
        </w:tc>
      </w:tr>
      <w:tr w:rsidR="00AD3C3D" w:rsidRPr="00930E88" w14:paraId="06CA8A20" w14:textId="77777777" w:rsidTr="003F4366">
        <w:trPr>
          <w:trHeight w:val="299"/>
          <w:jc w:val="center"/>
        </w:trPr>
        <w:tc>
          <w:tcPr>
            <w:tcW w:w="3583" w:type="dxa"/>
            <w:tcBorders>
              <w:left w:val="single" w:sz="4" w:space="0" w:color="auto"/>
            </w:tcBorders>
            <w:noWrap/>
            <w:vAlign w:val="center"/>
          </w:tcPr>
          <w:p w14:paraId="2400AEB7" w14:textId="77777777" w:rsidR="00AD3C3D" w:rsidRPr="00930E88" w:rsidRDefault="00AD3C3D" w:rsidP="003F4366">
            <w:pPr>
              <w:rPr>
                <w:rFonts w:ascii="Calibri" w:eastAsia="Calibri" w:hAnsi="Calibri" w:cs="Calibri"/>
                <w:bCs/>
                <w:i/>
                <w:color w:val="595959" w:themeColor="text1" w:themeTint="A6"/>
                <w:sz w:val="18"/>
                <w:szCs w:val="18"/>
              </w:rPr>
            </w:pPr>
            <w:r w:rsidRPr="00930E88">
              <w:rPr>
                <w:rFonts w:ascii="Calibri" w:eastAsia="Calibri" w:hAnsi="Calibri" w:cs="Times New Roman"/>
                <w:bCs/>
                <w:i/>
                <w:color w:val="595959" w:themeColor="text1" w:themeTint="A6"/>
                <w:sz w:val="18"/>
                <w:szCs w:val="18"/>
              </w:rPr>
              <w:t>εκ των οποίων μεταβιβάσεις</w:t>
            </w:r>
          </w:p>
        </w:tc>
        <w:tc>
          <w:tcPr>
            <w:tcW w:w="2094" w:type="dxa"/>
            <w:tcBorders>
              <w:top w:val="nil"/>
              <w:left w:val="nil"/>
              <w:bottom w:val="nil"/>
              <w:right w:val="nil"/>
            </w:tcBorders>
            <w:shd w:val="clear" w:color="auto" w:fill="auto"/>
            <w:noWrap/>
            <w:vAlign w:val="center"/>
          </w:tcPr>
          <w:p w14:paraId="493B5F19"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13.123</w:t>
            </w:r>
          </w:p>
        </w:tc>
        <w:tc>
          <w:tcPr>
            <w:tcW w:w="1113" w:type="dxa"/>
            <w:tcBorders>
              <w:top w:val="nil"/>
              <w:left w:val="nil"/>
              <w:bottom w:val="nil"/>
              <w:right w:val="nil"/>
            </w:tcBorders>
            <w:shd w:val="clear" w:color="auto" w:fill="auto"/>
            <w:noWrap/>
            <w:vAlign w:val="center"/>
          </w:tcPr>
          <w:p w14:paraId="05BC19E7"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9.188</w:t>
            </w:r>
          </w:p>
        </w:tc>
        <w:tc>
          <w:tcPr>
            <w:tcW w:w="1516" w:type="dxa"/>
            <w:tcBorders>
              <w:top w:val="nil"/>
              <w:left w:val="nil"/>
              <w:bottom w:val="nil"/>
              <w:right w:val="single" w:sz="4" w:space="0" w:color="auto"/>
            </w:tcBorders>
            <w:shd w:val="clear" w:color="auto" w:fill="auto"/>
            <w:noWrap/>
            <w:vAlign w:val="center"/>
          </w:tcPr>
          <w:p w14:paraId="1C3A61E7"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-3.935</w:t>
            </w:r>
          </w:p>
        </w:tc>
      </w:tr>
      <w:tr w:rsidR="00AD3C3D" w:rsidRPr="00930E88" w14:paraId="36550ED8" w14:textId="77777777" w:rsidTr="003F4366">
        <w:trPr>
          <w:trHeight w:val="299"/>
          <w:jc w:val="center"/>
        </w:trPr>
        <w:tc>
          <w:tcPr>
            <w:tcW w:w="3583" w:type="dxa"/>
            <w:tcBorders>
              <w:left w:val="single" w:sz="4" w:space="0" w:color="auto"/>
            </w:tcBorders>
            <w:noWrap/>
            <w:vAlign w:val="center"/>
            <w:hideMark/>
          </w:tcPr>
          <w:p w14:paraId="2321B1BD" w14:textId="77777777" w:rsidR="00AD3C3D" w:rsidRPr="00930E88" w:rsidRDefault="00AD3C3D" w:rsidP="003F4366">
            <w:pPr>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Δαπάνες</w:t>
            </w:r>
          </w:p>
        </w:tc>
        <w:tc>
          <w:tcPr>
            <w:tcW w:w="2094" w:type="dxa"/>
            <w:tcBorders>
              <w:top w:val="nil"/>
              <w:left w:val="nil"/>
              <w:bottom w:val="nil"/>
              <w:right w:val="nil"/>
            </w:tcBorders>
            <w:shd w:val="clear" w:color="auto" w:fill="auto"/>
            <w:noWrap/>
            <w:vAlign w:val="center"/>
          </w:tcPr>
          <w:p w14:paraId="5EAC5768"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12.111</w:t>
            </w:r>
          </w:p>
        </w:tc>
        <w:tc>
          <w:tcPr>
            <w:tcW w:w="1113" w:type="dxa"/>
            <w:tcBorders>
              <w:top w:val="nil"/>
              <w:left w:val="nil"/>
              <w:bottom w:val="nil"/>
              <w:right w:val="nil"/>
            </w:tcBorders>
            <w:shd w:val="clear" w:color="auto" w:fill="auto"/>
            <w:noWrap/>
            <w:vAlign w:val="center"/>
          </w:tcPr>
          <w:p w14:paraId="14A21005"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12.249</w:t>
            </w:r>
          </w:p>
        </w:tc>
        <w:tc>
          <w:tcPr>
            <w:tcW w:w="1516" w:type="dxa"/>
            <w:tcBorders>
              <w:top w:val="nil"/>
              <w:left w:val="nil"/>
              <w:bottom w:val="nil"/>
              <w:right w:val="single" w:sz="4" w:space="0" w:color="auto"/>
            </w:tcBorders>
            <w:shd w:val="clear" w:color="auto" w:fill="auto"/>
            <w:noWrap/>
            <w:vAlign w:val="center"/>
          </w:tcPr>
          <w:p w14:paraId="284D3E20"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139</w:t>
            </w:r>
          </w:p>
        </w:tc>
      </w:tr>
      <w:tr w:rsidR="00AD3C3D" w:rsidRPr="00930E88" w14:paraId="5DB129F4" w14:textId="77777777" w:rsidTr="003F4366">
        <w:trPr>
          <w:trHeight w:val="300"/>
          <w:jc w:val="center"/>
        </w:trPr>
        <w:tc>
          <w:tcPr>
            <w:tcW w:w="3583" w:type="dxa"/>
            <w:tcBorders>
              <w:left w:val="single" w:sz="4" w:space="0" w:color="auto"/>
            </w:tcBorders>
            <w:noWrap/>
            <w:vAlign w:val="center"/>
            <w:hideMark/>
          </w:tcPr>
          <w:p w14:paraId="7827374D" w14:textId="77777777" w:rsidR="00AD3C3D" w:rsidRPr="00930E88" w:rsidRDefault="00AD3C3D" w:rsidP="003F4366">
            <w:pPr>
              <w:rPr>
                <w:rFonts w:ascii="Calibri" w:eastAsia="Calibri" w:hAnsi="Calibri" w:cs="Calibri"/>
                <w:bCs/>
                <w:i/>
                <w:color w:val="595959" w:themeColor="text1" w:themeTint="A6"/>
                <w:sz w:val="18"/>
                <w:szCs w:val="18"/>
              </w:rPr>
            </w:pPr>
            <w:r w:rsidRPr="00930E88">
              <w:rPr>
                <w:rFonts w:ascii="Calibri" w:eastAsia="Calibri" w:hAnsi="Calibri" w:cs="Calibri"/>
                <w:bCs/>
                <w:i/>
                <w:color w:val="595959" w:themeColor="text1" w:themeTint="A6"/>
                <w:sz w:val="18"/>
                <w:szCs w:val="18"/>
              </w:rPr>
              <w:t>εκ των οποίων τόκοι</w:t>
            </w:r>
          </w:p>
        </w:tc>
        <w:tc>
          <w:tcPr>
            <w:tcW w:w="2094" w:type="dxa"/>
            <w:tcBorders>
              <w:top w:val="nil"/>
              <w:left w:val="nil"/>
              <w:right w:val="nil"/>
            </w:tcBorders>
            <w:shd w:val="clear" w:color="auto" w:fill="auto"/>
            <w:noWrap/>
            <w:vAlign w:val="center"/>
          </w:tcPr>
          <w:p w14:paraId="13818614"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245</w:t>
            </w:r>
          </w:p>
        </w:tc>
        <w:tc>
          <w:tcPr>
            <w:tcW w:w="1113" w:type="dxa"/>
            <w:tcBorders>
              <w:top w:val="nil"/>
              <w:left w:val="nil"/>
              <w:right w:val="nil"/>
            </w:tcBorders>
            <w:shd w:val="clear" w:color="auto" w:fill="auto"/>
            <w:noWrap/>
            <w:vAlign w:val="center"/>
          </w:tcPr>
          <w:p w14:paraId="6B015F8A"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203</w:t>
            </w:r>
          </w:p>
        </w:tc>
        <w:tc>
          <w:tcPr>
            <w:tcW w:w="1516" w:type="dxa"/>
            <w:tcBorders>
              <w:top w:val="nil"/>
              <w:left w:val="nil"/>
              <w:right w:val="single" w:sz="4" w:space="0" w:color="auto"/>
            </w:tcBorders>
            <w:shd w:val="clear" w:color="auto" w:fill="auto"/>
            <w:noWrap/>
            <w:vAlign w:val="center"/>
          </w:tcPr>
          <w:p w14:paraId="2EBB2CC4"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-42</w:t>
            </w:r>
          </w:p>
        </w:tc>
      </w:tr>
      <w:tr w:rsidR="00AD3C3D" w:rsidRPr="00930E88" w14:paraId="28FFDFED" w14:textId="77777777" w:rsidTr="003F4366">
        <w:trPr>
          <w:trHeight w:val="412"/>
          <w:jc w:val="center"/>
        </w:trPr>
        <w:tc>
          <w:tcPr>
            <w:tcW w:w="3583" w:type="dxa"/>
            <w:tcBorders>
              <w:left w:val="single" w:sz="4" w:space="0" w:color="auto"/>
              <w:bottom w:val="single" w:sz="4" w:space="0" w:color="auto"/>
            </w:tcBorders>
            <w:vAlign w:val="center"/>
            <w:hideMark/>
          </w:tcPr>
          <w:p w14:paraId="70A34BCE" w14:textId="77777777" w:rsidR="00AD3C3D" w:rsidRPr="00930E88" w:rsidRDefault="00AD3C3D" w:rsidP="003F4366">
            <w:pP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Πρωτογενές Αποτέλεσμα Νομικών προσώπων</w:t>
            </w:r>
          </w:p>
        </w:tc>
        <w:tc>
          <w:tcPr>
            <w:tcW w:w="2094" w:type="dxa"/>
            <w:tcBorders>
              <w:top w:val="nil"/>
              <w:left w:val="nil"/>
              <w:bottom w:val="single" w:sz="4" w:space="0" w:color="auto"/>
              <w:right w:val="nil"/>
            </w:tcBorders>
            <w:shd w:val="clear" w:color="auto" w:fill="auto"/>
            <w:noWrap/>
            <w:vAlign w:val="center"/>
          </w:tcPr>
          <w:p w14:paraId="43A019B1"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5.997</w:t>
            </w:r>
          </w:p>
        </w:tc>
        <w:tc>
          <w:tcPr>
            <w:tcW w:w="1113" w:type="dxa"/>
            <w:tcBorders>
              <w:top w:val="nil"/>
              <w:left w:val="nil"/>
              <w:bottom w:val="single" w:sz="4" w:space="0" w:color="auto"/>
              <w:right w:val="nil"/>
            </w:tcBorders>
            <w:shd w:val="clear" w:color="auto" w:fill="auto"/>
            <w:noWrap/>
            <w:vAlign w:val="center"/>
          </w:tcPr>
          <w:p w14:paraId="70067EE1"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2.366</w:t>
            </w:r>
          </w:p>
        </w:tc>
        <w:tc>
          <w:tcPr>
            <w:tcW w:w="1516" w:type="dxa"/>
            <w:tcBorders>
              <w:top w:val="nil"/>
              <w:left w:val="nil"/>
              <w:bottom w:val="single" w:sz="4" w:space="0" w:color="auto"/>
              <w:right w:val="single" w:sz="4" w:space="0" w:color="auto"/>
            </w:tcBorders>
            <w:shd w:val="clear" w:color="auto" w:fill="auto"/>
            <w:noWrap/>
            <w:vAlign w:val="center"/>
          </w:tcPr>
          <w:p w14:paraId="443E66F0"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-3.631</w:t>
            </w:r>
          </w:p>
        </w:tc>
      </w:tr>
      <w:tr w:rsidR="00AD3C3D" w:rsidRPr="00930E88" w14:paraId="22E8CB0F" w14:textId="77777777" w:rsidTr="003F4366">
        <w:trPr>
          <w:trHeight w:val="225"/>
          <w:jc w:val="center"/>
        </w:trPr>
        <w:tc>
          <w:tcPr>
            <w:tcW w:w="8306" w:type="dxa"/>
            <w:gridSpan w:val="4"/>
            <w:tcBorders>
              <w:top w:val="single" w:sz="4" w:space="0" w:color="auto"/>
              <w:left w:val="single" w:sz="4" w:space="0" w:color="auto"/>
              <w:right w:val="single" w:sz="4" w:space="0" w:color="auto"/>
            </w:tcBorders>
            <w:noWrap/>
            <w:vAlign w:val="center"/>
            <w:hideMark/>
          </w:tcPr>
          <w:p w14:paraId="7B3E5FA9" w14:textId="77777777" w:rsidR="00AD3C3D" w:rsidRPr="00930E88" w:rsidRDefault="00AD3C3D" w:rsidP="003F4366">
            <w:pPr>
              <w:jc w:val="cente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Οργανισμοί Τοπικής Αυτοδιοίκησης (ΟΤΑ)</w:t>
            </w:r>
          </w:p>
        </w:tc>
      </w:tr>
      <w:tr w:rsidR="00AD3C3D" w:rsidRPr="00930E88" w14:paraId="5A9D9493" w14:textId="77777777" w:rsidTr="003F4366">
        <w:trPr>
          <w:trHeight w:val="288"/>
          <w:jc w:val="center"/>
        </w:trPr>
        <w:tc>
          <w:tcPr>
            <w:tcW w:w="3583" w:type="dxa"/>
            <w:tcBorders>
              <w:left w:val="single" w:sz="4" w:space="0" w:color="auto"/>
            </w:tcBorders>
            <w:noWrap/>
            <w:vAlign w:val="center"/>
            <w:hideMark/>
          </w:tcPr>
          <w:p w14:paraId="57C2D13E" w14:textId="77777777" w:rsidR="00AD3C3D" w:rsidRPr="00930E88" w:rsidRDefault="00AD3C3D" w:rsidP="003F4366">
            <w:pPr>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Έσοδα</w:t>
            </w:r>
          </w:p>
        </w:tc>
        <w:tc>
          <w:tcPr>
            <w:tcW w:w="2094" w:type="dxa"/>
            <w:tcBorders>
              <w:top w:val="nil"/>
              <w:left w:val="nil"/>
              <w:bottom w:val="nil"/>
              <w:right w:val="nil"/>
            </w:tcBorders>
            <w:shd w:val="clear" w:color="auto" w:fill="auto"/>
            <w:noWrap/>
            <w:vAlign w:val="center"/>
          </w:tcPr>
          <w:p w14:paraId="67E22CB6"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6.659</w:t>
            </w:r>
          </w:p>
        </w:tc>
        <w:tc>
          <w:tcPr>
            <w:tcW w:w="1113" w:type="dxa"/>
            <w:tcBorders>
              <w:top w:val="nil"/>
              <w:left w:val="nil"/>
              <w:bottom w:val="nil"/>
              <w:right w:val="nil"/>
            </w:tcBorders>
            <w:shd w:val="clear" w:color="auto" w:fill="auto"/>
            <w:noWrap/>
            <w:vAlign w:val="center"/>
          </w:tcPr>
          <w:p w14:paraId="6ADA1F40"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7.069</w:t>
            </w:r>
          </w:p>
        </w:tc>
        <w:tc>
          <w:tcPr>
            <w:tcW w:w="1516" w:type="dxa"/>
            <w:tcBorders>
              <w:top w:val="nil"/>
              <w:left w:val="nil"/>
              <w:bottom w:val="nil"/>
              <w:right w:val="single" w:sz="4" w:space="0" w:color="auto"/>
            </w:tcBorders>
            <w:shd w:val="clear" w:color="auto" w:fill="auto"/>
            <w:noWrap/>
            <w:vAlign w:val="center"/>
          </w:tcPr>
          <w:p w14:paraId="4CEDD1FC"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410</w:t>
            </w:r>
          </w:p>
        </w:tc>
      </w:tr>
      <w:tr w:rsidR="00AD3C3D" w:rsidRPr="00930E88" w14:paraId="1B7351EF" w14:textId="77777777" w:rsidTr="003F4366">
        <w:trPr>
          <w:trHeight w:val="288"/>
          <w:jc w:val="center"/>
        </w:trPr>
        <w:tc>
          <w:tcPr>
            <w:tcW w:w="3583" w:type="dxa"/>
            <w:tcBorders>
              <w:left w:val="single" w:sz="4" w:space="0" w:color="auto"/>
            </w:tcBorders>
            <w:noWrap/>
            <w:vAlign w:val="center"/>
          </w:tcPr>
          <w:p w14:paraId="6A59B80C" w14:textId="77777777" w:rsidR="00AD3C3D" w:rsidRPr="00930E88" w:rsidRDefault="00AD3C3D" w:rsidP="003F4366">
            <w:pPr>
              <w:rPr>
                <w:rFonts w:ascii="Calibri" w:eastAsia="Calibri" w:hAnsi="Calibri" w:cs="Calibri"/>
                <w:bCs/>
                <w:i/>
                <w:color w:val="595959" w:themeColor="text1" w:themeTint="A6"/>
                <w:sz w:val="18"/>
                <w:szCs w:val="18"/>
              </w:rPr>
            </w:pPr>
            <w:r w:rsidRPr="00930E88">
              <w:rPr>
                <w:rFonts w:ascii="Calibri" w:eastAsia="Calibri" w:hAnsi="Calibri" w:cs="Times New Roman"/>
                <w:bCs/>
                <w:i/>
                <w:color w:val="595959" w:themeColor="text1" w:themeTint="A6"/>
                <w:sz w:val="18"/>
                <w:szCs w:val="18"/>
              </w:rPr>
              <w:t>εκ των οποίων μεταβιβάσεις</w:t>
            </w:r>
          </w:p>
        </w:tc>
        <w:tc>
          <w:tcPr>
            <w:tcW w:w="2094" w:type="dxa"/>
            <w:tcBorders>
              <w:top w:val="nil"/>
              <w:left w:val="nil"/>
              <w:bottom w:val="nil"/>
              <w:right w:val="nil"/>
            </w:tcBorders>
            <w:shd w:val="clear" w:color="auto" w:fill="auto"/>
            <w:noWrap/>
            <w:vAlign w:val="center"/>
          </w:tcPr>
          <w:p w14:paraId="0EF68CBD"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4.350</w:t>
            </w:r>
          </w:p>
        </w:tc>
        <w:tc>
          <w:tcPr>
            <w:tcW w:w="1113" w:type="dxa"/>
            <w:tcBorders>
              <w:top w:val="nil"/>
              <w:left w:val="nil"/>
              <w:bottom w:val="nil"/>
              <w:right w:val="nil"/>
            </w:tcBorders>
            <w:shd w:val="clear" w:color="auto" w:fill="auto"/>
            <w:noWrap/>
            <w:vAlign w:val="center"/>
          </w:tcPr>
          <w:p w14:paraId="2381E31D"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4.695</w:t>
            </w:r>
          </w:p>
        </w:tc>
        <w:tc>
          <w:tcPr>
            <w:tcW w:w="1516" w:type="dxa"/>
            <w:tcBorders>
              <w:top w:val="nil"/>
              <w:left w:val="nil"/>
              <w:bottom w:val="nil"/>
              <w:right w:val="single" w:sz="4" w:space="0" w:color="auto"/>
            </w:tcBorders>
            <w:shd w:val="clear" w:color="auto" w:fill="auto"/>
            <w:noWrap/>
            <w:vAlign w:val="center"/>
          </w:tcPr>
          <w:p w14:paraId="48F288B5"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345</w:t>
            </w:r>
          </w:p>
        </w:tc>
      </w:tr>
      <w:tr w:rsidR="00AD3C3D" w:rsidRPr="00930E88" w14:paraId="54AC4F47" w14:textId="77777777" w:rsidTr="003F4366">
        <w:trPr>
          <w:trHeight w:val="288"/>
          <w:jc w:val="center"/>
        </w:trPr>
        <w:tc>
          <w:tcPr>
            <w:tcW w:w="3583" w:type="dxa"/>
            <w:tcBorders>
              <w:left w:val="single" w:sz="4" w:space="0" w:color="auto"/>
            </w:tcBorders>
            <w:noWrap/>
            <w:vAlign w:val="center"/>
            <w:hideMark/>
          </w:tcPr>
          <w:p w14:paraId="321B10EC" w14:textId="77777777" w:rsidR="00AD3C3D" w:rsidRPr="00930E88" w:rsidRDefault="00AD3C3D" w:rsidP="003F4366">
            <w:pPr>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Δαπάνες</w:t>
            </w:r>
          </w:p>
        </w:tc>
        <w:tc>
          <w:tcPr>
            <w:tcW w:w="2094" w:type="dxa"/>
            <w:tcBorders>
              <w:top w:val="nil"/>
              <w:left w:val="nil"/>
              <w:bottom w:val="nil"/>
              <w:right w:val="nil"/>
            </w:tcBorders>
            <w:shd w:val="clear" w:color="auto" w:fill="auto"/>
            <w:noWrap/>
            <w:vAlign w:val="center"/>
          </w:tcPr>
          <w:p w14:paraId="5364F211"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6.607</w:t>
            </w:r>
          </w:p>
        </w:tc>
        <w:tc>
          <w:tcPr>
            <w:tcW w:w="1113" w:type="dxa"/>
            <w:tcBorders>
              <w:top w:val="nil"/>
              <w:left w:val="nil"/>
              <w:bottom w:val="nil"/>
              <w:right w:val="nil"/>
            </w:tcBorders>
            <w:shd w:val="clear" w:color="auto" w:fill="auto"/>
            <w:noWrap/>
            <w:vAlign w:val="center"/>
          </w:tcPr>
          <w:p w14:paraId="62A76930"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7.335</w:t>
            </w:r>
          </w:p>
        </w:tc>
        <w:tc>
          <w:tcPr>
            <w:tcW w:w="1516" w:type="dxa"/>
            <w:tcBorders>
              <w:top w:val="nil"/>
              <w:left w:val="nil"/>
              <w:bottom w:val="nil"/>
              <w:right w:val="single" w:sz="4" w:space="0" w:color="auto"/>
            </w:tcBorders>
            <w:shd w:val="clear" w:color="auto" w:fill="auto"/>
            <w:noWrap/>
            <w:vAlign w:val="center"/>
          </w:tcPr>
          <w:p w14:paraId="4B7B4FAC"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728</w:t>
            </w:r>
          </w:p>
        </w:tc>
      </w:tr>
      <w:tr w:rsidR="00AD3C3D" w:rsidRPr="00930E88" w14:paraId="2C3459F0" w14:textId="77777777" w:rsidTr="003F4366">
        <w:trPr>
          <w:trHeight w:val="300"/>
          <w:jc w:val="center"/>
        </w:trPr>
        <w:tc>
          <w:tcPr>
            <w:tcW w:w="3583" w:type="dxa"/>
            <w:tcBorders>
              <w:left w:val="single" w:sz="4" w:space="0" w:color="auto"/>
            </w:tcBorders>
            <w:noWrap/>
            <w:vAlign w:val="center"/>
            <w:hideMark/>
          </w:tcPr>
          <w:p w14:paraId="716A2FCE" w14:textId="77777777" w:rsidR="00AD3C3D" w:rsidRPr="00930E88" w:rsidRDefault="00AD3C3D" w:rsidP="003F4366">
            <w:pPr>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εκ των οποίων τόκοι</w:t>
            </w:r>
          </w:p>
        </w:tc>
        <w:tc>
          <w:tcPr>
            <w:tcW w:w="2094" w:type="dxa"/>
            <w:tcBorders>
              <w:top w:val="nil"/>
              <w:left w:val="nil"/>
              <w:right w:val="nil"/>
            </w:tcBorders>
            <w:shd w:val="clear" w:color="auto" w:fill="auto"/>
            <w:noWrap/>
            <w:vAlign w:val="center"/>
          </w:tcPr>
          <w:p w14:paraId="11B8E9F3"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39</w:t>
            </w:r>
          </w:p>
        </w:tc>
        <w:tc>
          <w:tcPr>
            <w:tcW w:w="1113" w:type="dxa"/>
            <w:tcBorders>
              <w:top w:val="nil"/>
              <w:left w:val="nil"/>
              <w:right w:val="nil"/>
            </w:tcBorders>
            <w:shd w:val="clear" w:color="auto" w:fill="auto"/>
            <w:noWrap/>
            <w:vAlign w:val="center"/>
          </w:tcPr>
          <w:p w14:paraId="7DF3C958"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28</w:t>
            </w:r>
          </w:p>
        </w:tc>
        <w:tc>
          <w:tcPr>
            <w:tcW w:w="1516" w:type="dxa"/>
            <w:tcBorders>
              <w:top w:val="nil"/>
              <w:left w:val="nil"/>
              <w:right w:val="single" w:sz="4" w:space="0" w:color="auto"/>
            </w:tcBorders>
            <w:shd w:val="clear" w:color="auto" w:fill="auto"/>
            <w:noWrap/>
            <w:vAlign w:val="center"/>
          </w:tcPr>
          <w:p w14:paraId="0C802C68"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-11</w:t>
            </w:r>
          </w:p>
        </w:tc>
      </w:tr>
      <w:tr w:rsidR="00AD3C3D" w:rsidRPr="00930E88" w14:paraId="7E01F70B" w14:textId="77777777" w:rsidTr="003F4366">
        <w:trPr>
          <w:trHeight w:val="275"/>
          <w:jc w:val="center"/>
        </w:trPr>
        <w:tc>
          <w:tcPr>
            <w:tcW w:w="3583" w:type="dxa"/>
            <w:tcBorders>
              <w:left w:val="single" w:sz="4" w:space="0" w:color="auto"/>
              <w:bottom w:val="single" w:sz="4" w:space="0" w:color="auto"/>
            </w:tcBorders>
            <w:vAlign w:val="center"/>
            <w:hideMark/>
          </w:tcPr>
          <w:p w14:paraId="6F6B22F4" w14:textId="77777777" w:rsidR="00AD3C3D" w:rsidRPr="00930E88" w:rsidRDefault="00AD3C3D" w:rsidP="003F4366">
            <w:pP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Πρωτογενές Αποτέλεσμα ΟΤΑ</w:t>
            </w:r>
          </w:p>
        </w:tc>
        <w:tc>
          <w:tcPr>
            <w:tcW w:w="2094" w:type="dxa"/>
            <w:tcBorders>
              <w:top w:val="nil"/>
              <w:left w:val="nil"/>
              <w:bottom w:val="single" w:sz="4" w:space="0" w:color="auto"/>
              <w:right w:val="nil"/>
            </w:tcBorders>
            <w:shd w:val="clear" w:color="auto" w:fill="auto"/>
            <w:noWrap/>
            <w:vAlign w:val="center"/>
          </w:tcPr>
          <w:p w14:paraId="7C28D184"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91</w:t>
            </w:r>
          </w:p>
        </w:tc>
        <w:tc>
          <w:tcPr>
            <w:tcW w:w="1113" w:type="dxa"/>
            <w:tcBorders>
              <w:top w:val="nil"/>
              <w:left w:val="nil"/>
              <w:bottom w:val="single" w:sz="4" w:space="0" w:color="auto"/>
              <w:right w:val="nil"/>
            </w:tcBorders>
            <w:shd w:val="clear" w:color="auto" w:fill="auto"/>
            <w:noWrap/>
            <w:vAlign w:val="center"/>
          </w:tcPr>
          <w:p w14:paraId="44FA9DED"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-238</w:t>
            </w:r>
          </w:p>
        </w:tc>
        <w:tc>
          <w:tcPr>
            <w:tcW w:w="1516" w:type="dxa"/>
            <w:tcBorders>
              <w:top w:val="nil"/>
              <w:left w:val="nil"/>
              <w:bottom w:val="single" w:sz="4" w:space="0" w:color="auto"/>
              <w:right w:val="single" w:sz="4" w:space="0" w:color="auto"/>
            </w:tcBorders>
            <w:shd w:val="clear" w:color="auto" w:fill="auto"/>
            <w:noWrap/>
            <w:vAlign w:val="center"/>
          </w:tcPr>
          <w:p w14:paraId="5D89795E"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-329</w:t>
            </w:r>
          </w:p>
        </w:tc>
      </w:tr>
      <w:tr w:rsidR="00AD3C3D" w:rsidRPr="00930E88" w14:paraId="456CD03E" w14:textId="77777777" w:rsidTr="003F4366">
        <w:trPr>
          <w:trHeight w:val="135"/>
          <w:jc w:val="center"/>
        </w:trPr>
        <w:tc>
          <w:tcPr>
            <w:tcW w:w="8306" w:type="dxa"/>
            <w:gridSpan w:val="4"/>
            <w:tcBorders>
              <w:top w:val="single" w:sz="4" w:space="0" w:color="auto"/>
              <w:left w:val="single" w:sz="4" w:space="0" w:color="auto"/>
              <w:right w:val="single" w:sz="4" w:space="0" w:color="auto"/>
            </w:tcBorders>
            <w:noWrap/>
            <w:vAlign w:val="center"/>
            <w:hideMark/>
          </w:tcPr>
          <w:p w14:paraId="2C6F506A" w14:textId="77777777" w:rsidR="00AD3C3D" w:rsidRPr="00930E88" w:rsidRDefault="00AD3C3D" w:rsidP="003F4366">
            <w:pPr>
              <w:jc w:val="cente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Οργανισμοί Κοινωνικής Ασφάλισης (Ο</w:t>
            </w:r>
            <w:r w:rsidRPr="00930E88">
              <w:rPr>
                <w:rFonts w:ascii="Calibri" w:eastAsia="Calibri" w:hAnsi="Calibri" w:cs="Calibri"/>
                <w:b/>
                <w:bCs/>
                <w:color w:val="595959" w:themeColor="text1" w:themeTint="A6"/>
                <w:sz w:val="18"/>
                <w:szCs w:val="18"/>
                <w:lang w:val="en-US"/>
              </w:rPr>
              <w:t>KA</w:t>
            </w:r>
            <w:r w:rsidRPr="00930E88">
              <w:rPr>
                <w:rFonts w:ascii="Calibri" w:eastAsia="Calibri" w:hAnsi="Calibri" w:cs="Calibri"/>
                <w:b/>
                <w:bCs/>
                <w:color w:val="595959" w:themeColor="text1" w:themeTint="A6"/>
                <w:sz w:val="18"/>
                <w:szCs w:val="18"/>
              </w:rPr>
              <w:t>)</w:t>
            </w:r>
          </w:p>
        </w:tc>
      </w:tr>
      <w:tr w:rsidR="00AD3C3D" w:rsidRPr="00930E88" w14:paraId="29B0806D" w14:textId="77777777" w:rsidTr="003F4366">
        <w:trPr>
          <w:trHeight w:val="149"/>
          <w:jc w:val="center"/>
        </w:trPr>
        <w:tc>
          <w:tcPr>
            <w:tcW w:w="3583" w:type="dxa"/>
            <w:tcBorders>
              <w:left w:val="single" w:sz="4" w:space="0" w:color="auto"/>
            </w:tcBorders>
            <w:noWrap/>
            <w:vAlign w:val="center"/>
            <w:hideMark/>
          </w:tcPr>
          <w:p w14:paraId="7A7DBD47" w14:textId="77777777" w:rsidR="00AD3C3D" w:rsidRPr="00930E88" w:rsidRDefault="00AD3C3D" w:rsidP="003F4366">
            <w:pPr>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Έσοδα</w:t>
            </w:r>
          </w:p>
        </w:tc>
        <w:tc>
          <w:tcPr>
            <w:tcW w:w="2094" w:type="dxa"/>
            <w:tcBorders>
              <w:top w:val="nil"/>
              <w:left w:val="nil"/>
              <w:bottom w:val="nil"/>
              <w:right w:val="nil"/>
            </w:tcBorders>
            <w:shd w:val="clear" w:color="auto" w:fill="auto"/>
            <w:noWrap/>
            <w:vAlign w:val="center"/>
          </w:tcPr>
          <w:p w14:paraId="44D33611"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43.401</w:t>
            </w:r>
          </w:p>
        </w:tc>
        <w:tc>
          <w:tcPr>
            <w:tcW w:w="1113" w:type="dxa"/>
            <w:tcBorders>
              <w:top w:val="nil"/>
              <w:left w:val="nil"/>
              <w:bottom w:val="nil"/>
              <w:right w:val="nil"/>
            </w:tcBorders>
            <w:shd w:val="clear" w:color="auto" w:fill="auto"/>
            <w:noWrap/>
            <w:vAlign w:val="center"/>
          </w:tcPr>
          <w:p w14:paraId="75CE0BF4"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43.865</w:t>
            </w:r>
          </w:p>
        </w:tc>
        <w:tc>
          <w:tcPr>
            <w:tcW w:w="1516" w:type="dxa"/>
            <w:tcBorders>
              <w:top w:val="nil"/>
              <w:left w:val="nil"/>
              <w:bottom w:val="nil"/>
              <w:right w:val="single" w:sz="4" w:space="0" w:color="auto"/>
            </w:tcBorders>
            <w:shd w:val="clear" w:color="auto" w:fill="auto"/>
            <w:noWrap/>
            <w:vAlign w:val="center"/>
          </w:tcPr>
          <w:p w14:paraId="7CAD916A"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464</w:t>
            </w:r>
          </w:p>
        </w:tc>
      </w:tr>
      <w:tr w:rsidR="00AD3C3D" w:rsidRPr="00930E88" w14:paraId="34BF02BC" w14:textId="77777777" w:rsidTr="003F4366">
        <w:trPr>
          <w:trHeight w:val="288"/>
          <w:jc w:val="center"/>
        </w:trPr>
        <w:tc>
          <w:tcPr>
            <w:tcW w:w="3583" w:type="dxa"/>
            <w:tcBorders>
              <w:left w:val="single" w:sz="4" w:space="0" w:color="auto"/>
            </w:tcBorders>
            <w:noWrap/>
            <w:vAlign w:val="center"/>
          </w:tcPr>
          <w:p w14:paraId="733BA53E" w14:textId="77777777" w:rsidR="00AD3C3D" w:rsidRPr="00930E88" w:rsidRDefault="00AD3C3D" w:rsidP="003F4366">
            <w:pPr>
              <w:rPr>
                <w:rFonts w:ascii="Calibri" w:eastAsia="Calibri" w:hAnsi="Calibri" w:cs="Calibri"/>
                <w:bCs/>
                <w:i/>
                <w:color w:val="595959" w:themeColor="text1" w:themeTint="A6"/>
                <w:sz w:val="18"/>
                <w:szCs w:val="18"/>
              </w:rPr>
            </w:pPr>
            <w:r w:rsidRPr="00930E88">
              <w:rPr>
                <w:rFonts w:ascii="Calibri" w:eastAsia="Calibri" w:hAnsi="Calibri" w:cs="Times New Roman"/>
                <w:bCs/>
                <w:i/>
                <w:color w:val="595959" w:themeColor="text1" w:themeTint="A6"/>
                <w:sz w:val="18"/>
                <w:szCs w:val="18"/>
              </w:rPr>
              <w:t>εκ των οποίων μεταβιβάσεις</w:t>
            </w:r>
          </w:p>
        </w:tc>
        <w:tc>
          <w:tcPr>
            <w:tcW w:w="2094" w:type="dxa"/>
            <w:tcBorders>
              <w:top w:val="nil"/>
              <w:left w:val="nil"/>
              <w:bottom w:val="nil"/>
              <w:right w:val="nil"/>
            </w:tcBorders>
            <w:shd w:val="clear" w:color="auto" w:fill="auto"/>
            <w:noWrap/>
            <w:vAlign w:val="center"/>
          </w:tcPr>
          <w:p w14:paraId="523F3EF2"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20.925</w:t>
            </w:r>
          </w:p>
        </w:tc>
        <w:tc>
          <w:tcPr>
            <w:tcW w:w="1113" w:type="dxa"/>
            <w:tcBorders>
              <w:top w:val="nil"/>
              <w:left w:val="nil"/>
              <w:bottom w:val="nil"/>
              <w:right w:val="nil"/>
            </w:tcBorders>
            <w:shd w:val="clear" w:color="auto" w:fill="auto"/>
            <w:noWrap/>
            <w:vAlign w:val="center"/>
          </w:tcPr>
          <w:p w14:paraId="5F5EBAD4"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21.017</w:t>
            </w:r>
          </w:p>
        </w:tc>
        <w:tc>
          <w:tcPr>
            <w:tcW w:w="1516" w:type="dxa"/>
            <w:tcBorders>
              <w:top w:val="nil"/>
              <w:left w:val="nil"/>
              <w:bottom w:val="nil"/>
              <w:right w:val="single" w:sz="4" w:space="0" w:color="auto"/>
            </w:tcBorders>
            <w:shd w:val="clear" w:color="auto" w:fill="auto"/>
            <w:noWrap/>
            <w:vAlign w:val="center"/>
          </w:tcPr>
          <w:p w14:paraId="50324CF4"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91</w:t>
            </w:r>
          </w:p>
        </w:tc>
      </w:tr>
      <w:tr w:rsidR="00AD3C3D" w:rsidRPr="00930E88" w14:paraId="799DF74B" w14:textId="77777777" w:rsidTr="003F4366">
        <w:trPr>
          <w:trHeight w:val="288"/>
          <w:jc w:val="center"/>
        </w:trPr>
        <w:tc>
          <w:tcPr>
            <w:tcW w:w="3583" w:type="dxa"/>
            <w:tcBorders>
              <w:left w:val="single" w:sz="4" w:space="0" w:color="auto"/>
            </w:tcBorders>
            <w:noWrap/>
            <w:vAlign w:val="center"/>
            <w:hideMark/>
          </w:tcPr>
          <w:p w14:paraId="1ED8B4D3" w14:textId="77777777" w:rsidR="00AD3C3D" w:rsidRPr="00930E88" w:rsidRDefault="00AD3C3D" w:rsidP="003F4366">
            <w:pPr>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Δαπάνες</w:t>
            </w:r>
          </w:p>
        </w:tc>
        <w:tc>
          <w:tcPr>
            <w:tcW w:w="2094" w:type="dxa"/>
            <w:tcBorders>
              <w:top w:val="nil"/>
              <w:left w:val="nil"/>
              <w:bottom w:val="nil"/>
              <w:right w:val="nil"/>
            </w:tcBorders>
            <w:shd w:val="clear" w:color="auto" w:fill="auto"/>
            <w:noWrap/>
            <w:vAlign w:val="center"/>
          </w:tcPr>
          <w:p w14:paraId="7A9DC3E9"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42.558</w:t>
            </w:r>
          </w:p>
        </w:tc>
        <w:tc>
          <w:tcPr>
            <w:tcW w:w="1113" w:type="dxa"/>
            <w:tcBorders>
              <w:top w:val="nil"/>
              <w:left w:val="nil"/>
              <w:bottom w:val="nil"/>
              <w:right w:val="nil"/>
            </w:tcBorders>
            <w:shd w:val="clear" w:color="auto" w:fill="auto"/>
            <w:noWrap/>
            <w:vAlign w:val="center"/>
          </w:tcPr>
          <w:p w14:paraId="1171C9DE"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42.854</w:t>
            </w:r>
          </w:p>
        </w:tc>
        <w:tc>
          <w:tcPr>
            <w:tcW w:w="1516" w:type="dxa"/>
            <w:tcBorders>
              <w:top w:val="nil"/>
              <w:left w:val="nil"/>
              <w:bottom w:val="nil"/>
              <w:right w:val="single" w:sz="4" w:space="0" w:color="auto"/>
            </w:tcBorders>
            <w:shd w:val="clear" w:color="auto" w:fill="auto"/>
            <w:noWrap/>
            <w:vAlign w:val="center"/>
          </w:tcPr>
          <w:p w14:paraId="555A05D1"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296</w:t>
            </w:r>
          </w:p>
        </w:tc>
      </w:tr>
      <w:tr w:rsidR="00AD3C3D" w:rsidRPr="00930E88" w14:paraId="699A227D" w14:textId="77777777" w:rsidTr="003F4366">
        <w:trPr>
          <w:trHeight w:val="203"/>
          <w:jc w:val="center"/>
        </w:trPr>
        <w:tc>
          <w:tcPr>
            <w:tcW w:w="3583" w:type="dxa"/>
            <w:tcBorders>
              <w:left w:val="single" w:sz="4" w:space="0" w:color="auto"/>
            </w:tcBorders>
            <w:noWrap/>
            <w:vAlign w:val="center"/>
            <w:hideMark/>
          </w:tcPr>
          <w:p w14:paraId="3C24E651" w14:textId="77777777" w:rsidR="00AD3C3D" w:rsidRPr="00930E88" w:rsidRDefault="00AD3C3D" w:rsidP="003F4366">
            <w:pPr>
              <w:rPr>
                <w:rFonts w:ascii="Calibri" w:eastAsia="Calibri" w:hAnsi="Calibri" w:cs="Calibri"/>
                <w:bCs/>
                <w:i/>
                <w:color w:val="595959" w:themeColor="text1" w:themeTint="A6"/>
                <w:sz w:val="18"/>
                <w:szCs w:val="18"/>
              </w:rPr>
            </w:pPr>
            <w:r w:rsidRPr="00930E88">
              <w:rPr>
                <w:rFonts w:ascii="Calibri" w:eastAsia="Calibri" w:hAnsi="Calibri" w:cs="Calibri"/>
                <w:bCs/>
                <w:i/>
                <w:color w:val="595959" w:themeColor="text1" w:themeTint="A6"/>
                <w:sz w:val="18"/>
                <w:szCs w:val="18"/>
              </w:rPr>
              <w:t>εκ των οποίων τόκοι</w:t>
            </w:r>
          </w:p>
        </w:tc>
        <w:tc>
          <w:tcPr>
            <w:tcW w:w="2094" w:type="dxa"/>
            <w:tcBorders>
              <w:top w:val="nil"/>
              <w:left w:val="nil"/>
              <w:bottom w:val="nil"/>
              <w:right w:val="nil"/>
            </w:tcBorders>
            <w:shd w:val="clear" w:color="auto" w:fill="auto"/>
            <w:noWrap/>
            <w:vAlign w:val="center"/>
          </w:tcPr>
          <w:p w14:paraId="6EA484D2"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5</w:t>
            </w:r>
          </w:p>
        </w:tc>
        <w:tc>
          <w:tcPr>
            <w:tcW w:w="1113" w:type="dxa"/>
            <w:tcBorders>
              <w:top w:val="nil"/>
              <w:left w:val="nil"/>
              <w:bottom w:val="nil"/>
              <w:right w:val="nil"/>
            </w:tcBorders>
            <w:shd w:val="clear" w:color="auto" w:fill="auto"/>
            <w:noWrap/>
            <w:vAlign w:val="center"/>
          </w:tcPr>
          <w:p w14:paraId="38884C7F"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6</w:t>
            </w:r>
          </w:p>
        </w:tc>
        <w:tc>
          <w:tcPr>
            <w:tcW w:w="1516" w:type="dxa"/>
            <w:tcBorders>
              <w:top w:val="nil"/>
              <w:left w:val="nil"/>
              <w:bottom w:val="nil"/>
              <w:right w:val="single" w:sz="4" w:space="0" w:color="auto"/>
            </w:tcBorders>
            <w:shd w:val="clear" w:color="auto" w:fill="auto"/>
            <w:noWrap/>
            <w:vAlign w:val="center"/>
          </w:tcPr>
          <w:p w14:paraId="5FEB86AA" w14:textId="77777777" w:rsidR="00AD3C3D" w:rsidRPr="00930E88" w:rsidRDefault="00AD3C3D" w:rsidP="003F4366">
            <w:pPr>
              <w:jc w:val="center"/>
              <w:rPr>
                <w:rFonts w:ascii="Calibri" w:hAnsi="Calibri" w:cs="Calibri"/>
                <w:i/>
                <w:iCs/>
                <w:color w:val="595959" w:themeColor="text1" w:themeTint="A6"/>
                <w:sz w:val="18"/>
                <w:szCs w:val="18"/>
              </w:rPr>
            </w:pPr>
            <w:r w:rsidRPr="00930E88">
              <w:rPr>
                <w:rFonts w:ascii="Calibri" w:hAnsi="Calibri" w:cs="Calibri"/>
                <w:i/>
                <w:iCs/>
                <w:color w:val="595959" w:themeColor="text1" w:themeTint="A6"/>
                <w:sz w:val="18"/>
                <w:szCs w:val="18"/>
              </w:rPr>
              <w:t>1</w:t>
            </w:r>
          </w:p>
        </w:tc>
      </w:tr>
      <w:tr w:rsidR="00AD3C3D" w:rsidRPr="00930E88" w14:paraId="50768793" w14:textId="77777777" w:rsidTr="003F4366">
        <w:trPr>
          <w:trHeight w:val="285"/>
          <w:jc w:val="center"/>
        </w:trPr>
        <w:tc>
          <w:tcPr>
            <w:tcW w:w="3583" w:type="dxa"/>
            <w:tcBorders>
              <w:left w:val="single" w:sz="4" w:space="0" w:color="auto"/>
              <w:bottom w:val="single" w:sz="4" w:space="0" w:color="auto"/>
            </w:tcBorders>
            <w:vAlign w:val="center"/>
            <w:hideMark/>
          </w:tcPr>
          <w:p w14:paraId="592A037B" w14:textId="77777777" w:rsidR="00AD3C3D" w:rsidRPr="00930E88" w:rsidRDefault="00AD3C3D" w:rsidP="003F4366">
            <w:pP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Πρωτογενές Αποτέλεσμα Ο</w:t>
            </w:r>
            <w:r w:rsidRPr="00930E88">
              <w:rPr>
                <w:rFonts w:ascii="Calibri" w:eastAsia="Calibri" w:hAnsi="Calibri" w:cs="Calibri"/>
                <w:b/>
                <w:bCs/>
                <w:color w:val="595959" w:themeColor="text1" w:themeTint="A6"/>
                <w:sz w:val="18"/>
                <w:szCs w:val="18"/>
                <w:lang w:val="en-US"/>
              </w:rPr>
              <w:t>KA</w:t>
            </w:r>
          </w:p>
        </w:tc>
        <w:tc>
          <w:tcPr>
            <w:tcW w:w="2094" w:type="dxa"/>
            <w:tcBorders>
              <w:top w:val="nil"/>
              <w:left w:val="nil"/>
              <w:bottom w:val="single" w:sz="4" w:space="0" w:color="auto"/>
              <w:right w:val="nil"/>
            </w:tcBorders>
            <w:shd w:val="clear" w:color="auto" w:fill="auto"/>
            <w:noWrap/>
            <w:vAlign w:val="center"/>
          </w:tcPr>
          <w:p w14:paraId="3BD45901"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848</w:t>
            </w:r>
          </w:p>
        </w:tc>
        <w:tc>
          <w:tcPr>
            <w:tcW w:w="1113" w:type="dxa"/>
            <w:tcBorders>
              <w:top w:val="nil"/>
              <w:left w:val="nil"/>
              <w:bottom w:val="single" w:sz="4" w:space="0" w:color="auto"/>
              <w:right w:val="nil"/>
            </w:tcBorders>
            <w:shd w:val="clear" w:color="auto" w:fill="auto"/>
            <w:noWrap/>
            <w:vAlign w:val="center"/>
          </w:tcPr>
          <w:p w14:paraId="5C67549A"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1.017</w:t>
            </w:r>
          </w:p>
        </w:tc>
        <w:tc>
          <w:tcPr>
            <w:tcW w:w="1516" w:type="dxa"/>
            <w:tcBorders>
              <w:top w:val="nil"/>
              <w:left w:val="nil"/>
              <w:bottom w:val="single" w:sz="4" w:space="0" w:color="auto"/>
              <w:right w:val="single" w:sz="4" w:space="0" w:color="auto"/>
            </w:tcBorders>
            <w:shd w:val="clear" w:color="auto" w:fill="auto"/>
            <w:noWrap/>
            <w:vAlign w:val="center"/>
          </w:tcPr>
          <w:p w14:paraId="03257E9A"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169</w:t>
            </w:r>
          </w:p>
        </w:tc>
      </w:tr>
      <w:tr w:rsidR="00AD3C3D" w:rsidRPr="00930E88" w14:paraId="0F722635" w14:textId="77777777" w:rsidTr="003F4366">
        <w:trPr>
          <w:trHeight w:val="215"/>
          <w:jc w:val="center"/>
        </w:trPr>
        <w:tc>
          <w:tcPr>
            <w:tcW w:w="8306" w:type="dxa"/>
            <w:gridSpan w:val="4"/>
            <w:tcBorders>
              <w:top w:val="single" w:sz="4" w:space="0" w:color="auto"/>
              <w:left w:val="single" w:sz="4" w:space="0" w:color="auto"/>
              <w:right w:val="single" w:sz="4" w:space="0" w:color="auto"/>
            </w:tcBorders>
            <w:noWrap/>
            <w:vAlign w:val="center"/>
            <w:hideMark/>
          </w:tcPr>
          <w:p w14:paraId="6E3C03FE" w14:textId="77777777" w:rsidR="00AD3C3D" w:rsidRPr="00930E88" w:rsidRDefault="00AD3C3D" w:rsidP="003F4366">
            <w:pPr>
              <w:jc w:val="cente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t>Πρωτογενές Αποτέλεσμα Γενικής Κυβέρνησης</w:t>
            </w:r>
          </w:p>
        </w:tc>
      </w:tr>
      <w:tr w:rsidR="00AD3C3D" w:rsidRPr="00930E88" w14:paraId="0C6B5648" w14:textId="77777777" w:rsidTr="003F4366">
        <w:trPr>
          <w:trHeight w:val="385"/>
          <w:jc w:val="center"/>
        </w:trPr>
        <w:tc>
          <w:tcPr>
            <w:tcW w:w="3583" w:type="dxa"/>
            <w:tcBorders>
              <w:left w:val="single" w:sz="4" w:space="0" w:color="auto"/>
            </w:tcBorders>
            <w:vAlign w:val="center"/>
            <w:hideMark/>
          </w:tcPr>
          <w:p w14:paraId="29306758" w14:textId="77777777" w:rsidR="00AD3C3D" w:rsidRPr="00930E88" w:rsidRDefault="00AD3C3D" w:rsidP="003F4366">
            <w:pPr>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Πρωτογενές Αποτέλεσμα Γενικής Κυβέρνησης (μη ενοποιημένο)</w:t>
            </w:r>
          </w:p>
        </w:tc>
        <w:tc>
          <w:tcPr>
            <w:tcW w:w="2094" w:type="dxa"/>
            <w:tcBorders>
              <w:top w:val="nil"/>
              <w:left w:val="nil"/>
              <w:bottom w:val="nil"/>
              <w:right w:val="nil"/>
            </w:tcBorders>
            <w:shd w:val="clear" w:color="auto" w:fill="auto"/>
            <w:noWrap/>
            <w:vAlign w:val="center"/>
          </w:tcPr>
          <w:p w14:paraId="40F95543"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-11.259</w:t>
            </w:r>
          </w:p>
        </w:tc>
        <w:tc>
          <w:tcPr>
            <w:tcW w:w="1113" w:type="dxa"/>
            <w:tcBorders>
              <w:top w:val="nil"/>
              <w:left w:val="nil"/>
              <w:bottom w:val="nil"/>
              <w:right w:val="nil"/>
            </w:tcBorders>
            <w:shd w:val="clear" w:color="auto" w:fill="auto"/>
            <w:noWrap/>
            <w:vAlign w:val="center"/>
          </w:tcPr>
          <w:p w14:paraId="3848D151"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-7.183</w:t>
            </w:r>
          </w:p>
        </w:tc>
        <w:tc>
          <w:tcPr>
            <w:tcW w:w="1516" w:type="dxa"/>
            <w:tcBorders>
              <w:top w:val="nil"/>
              <w:left w:val="nil"/>
              <w:bottom w:val="nil"/>
              <w:right w:val="single" w:sz="4" w:space="0" w:color="auto"/>
            </w:tcBorders>
            <w:shd w:val="clear" w:color="auto" w:fill="auto"/>
            <w:noWrap/>
            <w:vAlign w:val="center"/>
          </w:tcPr>
          <w:p w14:paraId="5C92F26E"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4.077</w:t>
            </w:r>
          </w:p>
        </w:tc>
      </w:tr>
      <w:tr w:rsidR="00AD3C3D" w:rsidRPr="00930E88" w14:paraId="61ACF9CC" w14:textId="77777777" w:rsidTr="003F4366">
        <w:trPr>
          <w:trHeight w:val="321"/>
          <w:jc w:val="center"/>
        </w:trPr>
        <w:tc>
          <w:tcPr>
            <w:tcW w:w="3583" w:type="dxa"/>
            <w:tcBorders>
              <w:left w:val="single" w:sz="4" w:space="0" w:color="auto"/>
            </w:tcBorders>
            <w:vAlign w:val="center"/>
            <w:hideMark/>
          </w:tcPr>
          <w:p w14:paraId="0CD9C65A" w14:textId="77777777" w:rsidR="00AD3C3D" w:rsidRPr="00930E88" w:rsidRDefault="00AD3C3D" w:rsidP="003F4366">
            <w:pPr>
              <w:rPr>
                <w:rFonts w:ascii="Calibri" w:eastAsia="Calibri" w:hAnsi="Calibri" w:cs="Calibri"/>
                <w:bCs/>
                <w:color w:val="595959" w:themeColor="text1" w:themeTint="A6"/>
                <w:sz w:val="18"/>
                <w:szCs w:val="18"/>
              </w:rPr>
            </w:pPr>
            <w:r w:rsidRPr="00930E88">
              <w:rPr>
                <w:rFonts w:ascii="Calibri" w:eastAsia="Calibri" w:hAnsi="Calibri" w:cs="Calibri"/>
                <w:bCs/>
                <w:color w:val="595959" w:themeColor="text1" w:themeTint="A6"/>
                <w:sz w:val="18"/>
                <w:szCs w:val="18"/>
              </w:rPr>
              <w:t>Ενδοκυβερνητικοί τόκοι</w:t>
            </w:r>
          </w:p>
        </w:tc>
        <w:tc>
          <w:tcPr>
            <w:tcW w:w="2094" w:type="dxa"/>
            <w:tcBorders>
              <w:top w:val="nil"/>
              <w:left w:val="nil"/>
              <w:bottom w:val="nil"/>
              <w:right w:val="nil"/>
            </w:tcBorders>
            <w:shd w:val="clear" w:color="auto" w:fill="auto"/>
            <w:noWrap/>
            <w:vAlign w:val="center"/>
          </w:tcPr>
          <w:p w14:paraId="199B1508"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-902</w:t>
            </w:r>
          </w:p>
        </w:tc>
        <w:tc>
          <w:tcPr>
            <w:tcW w:w="1113" w:type="dxa"/>
            <w:tcBorders>
              <w:top w:val="nil"/>
              <w:left w:val="nil"/>
              <w:bottom w:val="nil"/>
              <w:right w:val="nil"/>
            </w:tcBorders>
            <w:shd w:val="clear" w:color="auto" w:fill="auto"/>
            <w:noWrap/>
            <w:vAlign w:val="center"/>
          </w:tcPr>
          <w:p w14:paraId="6D829F6E"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-691</w:t>
            </w:r>
          </w:p>
        </w:tc>
        <w:tc>
          <w:tcPr>
            <w:tcW w:w="1516" w:type="dxa"/>
            <w:tcBorders>
              <w:top w:val="nil"/>
              <w:left w:val="nil"/>
              <w:bottom w:val="nil"/>
              <w:right w:val="single" w:sz="4" w:space="0" w:color="auto"/>
            </w:tcBorders>
            <w:shd w:val="clear" w:color="auto" w:fill="auto"/>
            <w:noWrap/>
            <w:vAlign w:val="center"/>
          </w:tcPr>
          <w:p w14:paraId="472B42C2"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212</w:t>
            </w:r>
          </w:p>
        </w:tc>
      </w:tr>
      <w:tr w:rsidR="00AD3C3D" w:rsidRPr="00930E88" w14:paraId="677A9DAA" w14:textId="77777777" w:rsidTr="003F4366">
        <w:trPr>
          <w:trHeight w:val="473"/>
          <w:jc w:val="center"/>
        </w:trPr>
        <w:tc>
          <w:tcPr>
            <w:tcW w:w="3583" w:type="dxa"/>
            <w:tcBorders>
              <w:left w:val="single" w:sz="4" w:space="0" w:color="auto"/>
            </w:tcBorders>
            <w:vAlign w:val="center"/>
            <w:hideMark/>
          </w:tcPr>
          <w:p w14:paraId="43F7E179" w14:textId="77777777" w:rsidR="00AD3C3D" w:rsidRPr="00930E88" w:rsidRDefault="00AD3C3D" w:rsidP="003F4366">
            <w:pPr>
              <w:rPr>
                <w:rFonts w:ascii="Calibri" w:eastAsia="Calibri" w:hAnsi="Calibri" w:cs="Calibri"/>
                <w:color w:val="595959" w:themeColor="text1" w:themeTint="A6"/>
                <w:sz w:val="18"/>
                <w:szCs w:val="18"/>
              </w:rPr>
            </w:pPr>
            <w:r w:rsidRPr="00930E88">
              <w:rPr>
                <w:rFonts w:ascii="Calibri" w:eastAsia="Calibri" w:hAnsi="Calibri" w:cs="Calibri"/>
                <w:color w:val="595959" w:themeColor="text1" w:themeTint="A6"/>
                <w:sz w:val="18"/>
                <w:szCs w:val="18"/>
              </w:rPr>
              <w:t>Επίπτωση μεταβολής ληξιπρόθεσμων υποχρεώσεων</w:t>
            </w:r>
          </w:p>
        </w:tc>
        <w:tc>
          <w:tcPr>
            <w:tcW w:w="2094" w:type="dxa"/>
            <w:tcBorders>
              <w:top w:val="nil"/>
              <w:left w:val="nil"/>
              <w:bottom w:val="nil"/>
              <w:right w:val="nil"/>
            </w:tcBorders>
            <w:shd w:val="clear" w:color="auto" w:fill="auto"/>
            <w:noWrap/>
            <w:vAlign w:val="center"/>
          </w:tcPr>
          <w:p w14:paraId="1791BB0C"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127</w:t>
            </w:r>
          </w:p>
        </w:tc>
        <w:tc>
          <w:tcPr>
            <w:tcW w:w="1113" w:type="dxa"/>
            <w:tcBorders>
              <w:top w:val="nil"/>
              <w:left w:val="nil"/>
              <w:bottom w:val="nil"/>
              <w:right w:val="nil"/>
            </w:tcBorders>
            <w:shd w:val="clear" w:color="auto" w:fill="auto"/>
            <w:noWrap/>
            <w:vAlign w:val="center"/>
          </w:tcPr>
          <w:p w14:paraId="4CC177E7"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11</w:t>
            </w:r>
          </w:p>
        </w:tc>
        <w:tc>
          <w:tcPr>
            <w:tcW w:w="1516" w:type="dxa"/>
            <w:tcBorders>
              <w:top w:val="nil"/>
              <w:left w:val="nil"/>
              <w:bottom w:val="nil"/>
              <w:right w:val="single" w:sz="4" w:space="0" w:color="auto"/>
            </w:tcBorders>
            <w:shd w:val="clear" w:color="auto" w:fill="auto"/>
            <w:noWrap/>
            <w:vAlign w:val="center"/>
          </w:tcPr>
          <w:p w14:paraId="3521A9C4"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-116</w:t>
            </w:r>
          </w:p>
        </w:tc>
      </w:tr>
      <w:tr w:rsidR="00AD3C3D" w:rsidRPr="00930E88" w14:paraId="026B0AA9" w14:textId="77777777" w:rsidTr="003F4366">
        <w:trPr>
          <w:trHeight w:val="305"/>
          <w:jc w:val="center"/>
        </w:trPr>
        <w:tc>
          <w:tcPr>
            <w:tcW w:w="3583" w:type="dxa"/>
            <w:tcBorders>
              <w:left w:val="single" w:sz="4" w:space="0" w:color="auto"/>
            </w:tcBorders>
            <w:vAlign w:val="center"/>
            <w:hideMark/>
          </w:tcPr>
          <w:p w14:paraId="65FF7E50" w14:textId="77777777" w:rsidR="00AD3C3D" w:rsidRPr="00930E88" w:rsidRDefault="00AD3C3D" w:rsidP="003F4366">
            <w:pPr>
              <w:rPr>
                <w:rFonts w:ascii="Calibri" w:eastAsia="Calibri" w:hAnsi="Calibri" w:cs="Calibri"/>
                <w:color w:val="595959" w:themeColor="text1" w:themeTint="A6"/>
                <w:sz w:val="18"/>
                <w:szCs w:val="18"/>
              </w:rPr>
            </w:pPr>
            <w:r w:rsidRPr="00930E88">
              <w:rPr>
                <w:rFonts w:ascii="Calibri" w:eastAsia="Calibri" w:hAnsi="Calibri" w:cs="Calibri"/>
                <w:color w:val="595959" w:themeColor="text1" w:themeTint="A6"/>
                <w:sz w:val="18"/>
                <w:szCs w:val="18"/>
              </w:rPr>
              <w:t>Μεταφορά εσόδων από ANFA και SMP</w:t>
            </w:r>
          </w:p>
        </w:tc>
        <w:tc>
          <w:tcPr>
            <w:tcW w:w="2094" w:type="dxa"/>
            <w:tcBorders>
              <w:top w:val="nil"/>
              <w:left w:val="nil"/>
              <w:bottom w:val="nil"/>
              <w:right w:val="nil"/>
            </w:tcBorders>
            <w:shd w:val="clear" w:color="auto" w:fill="auto"/>
            <w:noWrap/>
            <w:vAlign w:val="center"/>
          </w:tcPr>
          <w:p w14:paraId="159DB10F" w14:textId="77777777" w:rsidR="00AD3C3D" w:rsidRPr="00930E88" w:rsidRDefault="00AD3C3D" w:rsidP="003F4366">
            <w:pPr>
              <w:jc w:val="center"/>
              <w:rPr>
                <w:rFonts w:ascii="Calibri" w:hAnsi="Calibri" w:cs="Calibri"/>
                <w:color w:val="595959" w:themeColor="text1" w:themeTint="A6"/>
                <w:sz w:val="18"/>
                <w:szCs w:val="18"/>
                <w:lang w:val="en-US"/>
              </w:rPr>
            </w:pPr>
            <w:r w:rsidRPr="00930E88">
              <w:rPr>
                <w:rFonts w:ascii="Calibri" w:hAnsi="Calibri" w:cs="Calibri"/>
                <w:color w:val="595959" w:themeColor="text1" w:themeTint="A6"/>
                <w:sz w:val="18"/>
                <w:szCs w:val="18"/>
              </w:rPr>
              <w:t>-1.540</w:t>
            </w:r>
          </w:p>
        </w:tc>
        <w:tc>
          <w:tcPr>
            <w:tcW w:w="1113" w:type="dxa"/>
            <w:tcBorders>
              <w:top w:val="nil"/>
              <w:left w:val="nil"/>
              <w:bottom w:val="nil"/>
              <w:right w:val="nil"/>
            </w:tcBorders>
            <w:shd w:val="clear" w:color="auto" w:fill="auto"/>
            <w:noWrap/>
            <w:vAlign w:val="center"/>
          </w:tcPr>
          <w:p w14:paraId="5D9E58CD" w14:textId="77777777" w:rsidR="00AD3C3D" w:rsidRPr="00930E88" w:rsidRDefault="00AD3C3D" w:rsidP="003F4366">
            <w:pPr>
              <w:jc w:val="center"/>
              <w:rPr>
                <w:rFonts w:ascii="Calibri" w:hAnsi="Calibri" w:cs="Calibri"/>
                <w:color w:val="595959" w:themeColor="text1" w:themeTint="A6"/>
                <w:sz w:val="18"/>
                <w:szCs w:val="18"/>
                <w:lang w:val="en-US"/>
              </w:rPr>
            </w:pPr>
            <w:r w:rsidRPr="00930E88">
              <w:rPr>
                <w:rFonts w:ascii="Calibri" w:hAnsi="Calibri" w:cs="Calibri"/>
                <w:color w:val="595959" w:themeColor="text1" w:themeTint="A6"/>
                <w:sz w:val="18"/>
                <w:szCs w:val="18"/>
              </w:rPr>
              <w:t>-1.452</w:t>
            </w:r>
          </w:p>
        </w:tc>
        <w:tc>
          <w:tcPr>
            <w:tcW w:w="1516" w:type="dxa"/>
            <w:tcBorders>
              <w:top w:val="nil"/>
              <w:left w:val="nil"/>
              <w:bottom w:val="nil"/>
              <w:right w:val="single" w:sz="4" w:space="0" w:color="auto"/>
            </w:tcBorders>
            <w:shd w:val="clear" w:color="auto" w:fill="auto"/>
            <w:noWrap/>
            <w:vAlign w:val="center"/>
          </w:tcPr>
          <w:p w14:paraId="1EC18DD6" w14:textId="77777777" w:rsidR="00AD3C3D" w:rsidRPr="00930E88" w:rsidRDefault="00AD3C3D" w:rsidP="003F4366">
            <w:pPr>
              <w:jc w:val="center"/>
              <w:rPr>
                <w:rFonts w:ascii="Calibri" w:hAnsi="Calibri" w:cs="Calibri"/>
                <w:color w:val="595959" w:themeColor="text1" w:themeTint="A6"/>
                <w:sz w:val="18"/>
                <w:szCs w:val="18"/>
                <w:lang w:val="en-US"/>
              </w:rPr>
            </w:pPr>
            <w:r w:rsidRPr="00930E88">
              <w:rPr>
                <w:rFonts w:ascii="Calibri" w:hAnsi="Calibri" w:cs="Calibri"/>
                <w:color w:val="595959" w:themeColor="text1" w:themeTint="A6"/>
                <w:sz w:val="18"/>
                <w:szCs w:val="18"/>
              </w:rPr>
              <w:t>88</w:t>
            </w:r>
          </w:p>
        </w:tc>
      </w:tr>
      <w:tr w:rsidR="001E4CF6" w:rsidRPr="00930E88" w14:paraId="5FEDAD9F" w14:textId="77777777" w:rsidTr="003F4366">
        <w:trPr>
          <w:trHeight w:val="305"/>
          <w:jc w:val="center"/>
        </w:trPr>
        <w:tc>
          <w:tcPr>
            <w:tcW w:w="3583" w:type="dxa"/>
            <w:tcBorders>
              <w:left w:val="single" w:sz="4" w:space="0" w:color="auto"/>
            </w:tcBorders>
            <w:vAlign w:val="center"/>
          </w:tcPr>
          <w:p w14:paraId="5F84A68C" w14:textId="77777777" w:rsidR="001E4CF6" w:rsidRPr="00930E88" w:rsidRDefault="001E4CF6" w:rsidP="003F4366">
            <w:pPr>
              <w:rPr>
                <w:rFonts w:ascii="Calibri" w:eastAsia="Calibri" w:hAnsi="Calibri" w:cs="Calibri"/>
                <w:color w:val="595959" w:themeColor="text1" w:themeTint="A6"/>
                <w:sz w:val="18"/>
                <w:szCs w:val="18"/>
              </w:rPr>
            </w:pPr>
            <w:r w:rsidRPr="00930E88">
              <w:rPr>
                <w:rFonts w:ascii="Calibri" w:eastAsia="Calibri" w:hAnsi="Calibri" w:cs="Calibri"/>
                <w:color w:val="595959" w:themeColor="text1" w:themeTint="A6"/>
                <w:sz w:val="18"/>
                <w:szCs w:val="18"/>
              </w:rPr>
              <w:t>Προκαταβολές Ταμείου Ανάκαμψης μείον Πληρωμές</w:t>
            </w:r>
          </w:p>
        </w:tc>
        <w:tc>
          <w:tcPr>
            <w:tcW w:w="2094" w:type="dxa"/>
            <w:tcBorders>
              <w:top w:val="nil"/>
              <w:left w:val="nil"/>
              <w:bottom w:val="nil"/>
              <w:right w:val="nil"/>
            </w:tcBorders>
            <w:shd w:val="clear" w:color="auto" w:fill="auto"/>
            <w:noWrap/>
            <w:vAlign w:val="center"/>
          </w:tcPr>
          <w:p w14:paraId="7EF628B1" w14:textId="77777777" w:rsidR="001E4CF6" w:rsidRPr="00930E88" w:rsidRDefault="001E4CF6"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0</w:t>
            </w:r>
          </w:p>
        </w:tc>
        <w:tc>
          <w:tcPr>
            <w:tcW w:w="1113" w:type="dxa"/>
            <w:tcBorders>
              <w:top w:val="nil"/>
              <w:left w:val="nil"/>
              <w:bottom w:val="nil"/>
              <w:right w:val="nil"/>
            </w:tcBorders>
            <w:shd w:val="clear" w:color="auto" w:fill="auto"/>
            <w:noWrap/>
            <w:vAlign w:val="center"/>
          </w:tcPr>
          <w:p w14:paraId="44840B5B" w14:textId="77777777" w:rsidR="001E4CF6" w:rsidRPr="00930E88" w:rsidRDefault="001E4CF6"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-2.003</w:t>
            </w:r>
          </w:p>
        </w:tc>
        <w:tc>
          <w:tcPr>
            <w:tcW w:w="1516" w:type="dxa"/>
            <w:tcBorders>
              <w:top w:val="nil"/>
              <w:left w:val="nil"/>
              <w:bottom w:val="nil"/>
              <w:right w:val="single" w:sz="4" w:space="0" w:color="auto"/>
            </w:tcBorders>
            <w:shd w:val="clear" w:color="auto" w:fill="auto"/>
            <w:noWrap/>
            <w:vAlign w:val="center"/>
          </w:tcPr>
          <w:p w14:paraId="18B4820B" w14:textId="77777777" w:rsidR="001E4CF6" w:rsidRPr="00930E88" w:rsidRDefault="001E4CF6"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-2.003</w:t>
            </w:r>
          </w:p>
        </w:tc>
      </w:tr>
      <w:tr w:rsidR="00AD3C3D" w:rsidRPr="00930E88" w14:paraId="4D418E5F" w14:textId="77777777" w:rsidTr="003F4366">
        <w:trPr>
          <w:trHeight w:val="209"/>
          <w:jc w:val="center"/>
        </w:trPr>
        <w:tc>
          <w:tcPr>
            <w:tcW w:w="3583" w:type="dxa"/>
            <w:tcBorders>
              <w:left w:val="single" w:sz="4" w:space="0" w:color="auto"/>
              <w:bottom w:val="single" w:sz="4" w:space="0" w:color="auto"/>
            </w:tcBorders>
            <w:vAlign w:val="center"/>
          </w:tcPr>
          <w:p w14:paraId="3C2A8D7F" w14:textId="77777777" w:rsidR="00AD3C3D" w:rsidRPr="00930E88" w:rsidRDefault="00AD3C3D" w:rsidP="003F4366">
            <w:pPr>
              <w:rPr>
                <w:rFonts w:ascii="Calibri" w:eastAsia="Calibri" w:hAnsi="Calibri" w:cs="Calibri"/>
                <w:color w:val="595959" w:themeColor="text1" w:themeTint="A6"/>
                <w:sz w:val="18"/>
                <w:szCs w:val="18"/>
              </w:rPr>
            </w:pPr>
            <w:r w:rsidRPr="00930E88">
              <w:rPr>
                <w:rFonts w:ascii="Calibri" w:eastAsia="Calibri" w:hAnsi="Calibri" w:cs="Calibri"/>
                <w:color w:val="595959" w:themeColor="text1" w:themeTint="A6"/>
                <w:sz w:val="18"/>
                <w:szCs w:val="18"/>
              </w:rPr>
              <w:t>Έσοδα αποκρατικοποιήσεων</w:t>
            </w:r>
          </w:p>
        </w:tc>
        <w:tc>
          <w:tcPr>
            <w:tcW w:w="2094" w:type="dxa"/>
            <w:tcBorders>
              <w:top w:val="nil"/>
              <w:left w:val="nil"/>
              <w:bottom w:val="single" w:sz="4" w:space="0" w:color="auto"/>
              <w:right w:val="nil"/>
            </w:tcBorders>
            <w:shd w:val="clear" w:color="auto" w:fill="auto"/>
            <w:noWrap/>
            <w:vAlign w:val="center"/>
          </w:tcPr>
          <w:p w14:paraId="478307B8" w14:textId="77777777" w:rsidR="00AD3C3D" w:rsidRPr="00930E88" w:rsidRDefault="00AD3C3D" w:rsidP="003F4366">
            <w:pPr>
              <w:jc w:val="center"/>
              <w:rPr>
                <w:rFonts w:ascii="Calibri" w:hAnsi="Calibri" w:cs="Calibri"/>
                <w:color w:val="595959" w:themeColor="text1" w:themeTint="A6"/>
                <w:sz w:val="18"/>
                <w:szCs w:val="18"/>
                <w:lang w:val="en-US"/>
              </w:rPr>
            </w:pPr>
            <w:r w:rsidRPr="00930E88">
              <w:rPr>
                <w:rFonts w:ascii="Calibri" w:hAnsi="Calibri" w:cs="Calibri"/>
                <w:color w:val="595959" w:themeColor="text1" w:themeTint="A6"/>
                <w:sz w:val="18"/>
                <w:szCs w:val="18"/>
              </w:rPr>
              <w:t>-8</w:t>
            </w:r>
          </w:p>
        </w:tc>
        <w:tc>
          <w:tcPr>
            <w:tcW w:w="1113" w:type="dxa"/>
            <w:tcBorders>
              <w:top w:val="nil"/>
              <w:left w:val="nil"/>
              <w:bottom w:val="single" w:sz="4" w:space="0" w:color="auto"/>
              <w:right w:val="nil"/>
            </w:tcBorders>
            <w:shd w:val="clear" w:color="auto" w:fill="auto"/>
            <w:noWrap/>
            <w:vAlign w:val="center"/>
          </w:tcPr>
          <w:p w14:paraId="08CBFBBC"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-4</w:t>
            </w:r>
          </w:p>
        </w:tc>
        <w:tc>
          <w:tcPr>
            <w:tcW w:w="1516" w:type="dxa"/>
            <w:tcBorders>
              <w:top w:val="nil"/>
              <w:left w:val="nil"/>
              <w:bottom w:val="single" w:sz="4" w:space="0" w:color="auto"/>
              <w:right w:val="single" w:sz="4" w:space="0" w:color="auto"/>
            </w:tcBorders>
            <w:shd w:val="clear" w:color="auto" w:fill="auto"/>
            <w:noWrap/>
            <w:vAlign w:val="center"/>
          </w:tcPr>
          <w:p w14:paraId="1484FF44" w14:textId="77777777" w:rsidR="00AD3C3D" w:rsidRPr="00930E88" w:rsidRDefault="00AD3C3D" w:rsidP="003F4366">
            <w:pPr>
              <w:jc w:val="center"/>
              <w:rPr>
                <w:rFonts w:ascii="Calibri" w:hAnsi="Calibri" w:cs="Calibri"/>
                <w:color w:val="595959" w:themeColor="text1" w:themeTint="A6"/>
                <w:sz w:val="18"/>
                <w:szCs w:val="18"/>
              </w:rPr>
            </w:pPr>
            <w:r w:rsidRPr="00930E88">
              <w:rPr>
                <w:rFonts w:ascii="Calibri" w:hAnsi="Calibri" w:cs="Calibri"/>
                <w:color w:val="595959" w:themeColor="text1" w:themeTint="A6"/>
                <w:sz w:val="18"/>
                <w:szCs w:val="18"/>
              </w:rPr>
              <w:t>3</w:t>
            </w:r>
          </w:p>
        </w:tc>
      </w:tr>
      <w:tr w:rsidR="00AD3C3D" w:rsidRPr="00930E88" w14:paraId="37E8F99C" w14:textId="77777777" w:rsidTr="003F4366">
        <w:trPr>
          <w:trHeight w:val="628"/>
          <w:jc w:val="center"/>
        </w:trPr>
        <w:tc>
          <w:tcPr>
            <w:tcW w:w="3583" w:type="dxa"/>
            <w:tcBorders>
              <w:top w:val="single" w:sz="4" w:space="0" w:color="auto"/>
              <w:left w:val="single" w:sz="4" w:space="0" w:color="auto"/>
              <w:bottom w:val="single" w:sz="4" w:space="0" w:color="auto"/>
            </w:tcBorders>
            <w:vAlign w:val="center"/>
            <w:hideMark/>
          </w:tcPr>
          <w:p w14:paraId="66FFB4F7" w14:textId="77777777" w:rsidR="00AD3C3D" w:rsidRPr="00930E88" w:rsidRDefault="00AD3C3D" w:rsidP="003F4366">
            <w:pPr>
              <w:rPr>
                <w:rFonts w:ascii="Calibri" w:eastAsia="Calibri" w:hAnsi="Calibri" w:cs="Calibri"/>
                <w:b/>
                <w:bCs/>
                <w:color w:val="595959" w:themeColor="text1" w:themeTint="A6"/>
                <w:sz w:val="18"/>
                <w:szCs w:val="18"/>
              </w:rPr>
            </w:pPr>
            <w:r w:rsidRPr="00930E88">
              <w:rPr>
                <w:rFonts w:ascii="Calibri" w:eastAsia="Calibri" w:hAnsi="Calibri" w:cs="Calibri"/>
                <w:b/>
                <w:bCs/>
                <w:color w:val="595959" w:themeColor="text1" w:themeTint="A6"/>
                <w:sz w:val="18"/>
                <w:szCs w:val="18"/>
              </w:rPr>
              <w:lastRenderedPageBreak/>
              <w:t>Ενοποιημένο Πρωτογενές Αποτέλεσμα Γενικής Κυβέρνησης με προσαρμογές</w:t>
            </w:r>
          </w:p>
        </w:tc>
        <w:tc>
          <w:tcPr>
            <w:tcW w:w="2094" w:type="dxa"/>
            <w:tcBorders>
              <w:top w:val="single" w:sz="4" w:space="0" w:color="auto"/>
              <w:left w:val="nil"/>
              <w:bottom w:val="single" w:sz="4" w:space="0" w:color="auto"/>
              <w:right w:val="nil"/>
            </w:tcBorders>
            <w:shd w:val="clear" w:color="auto" w:fill="auto"/>
            <w:noWrap/>
            <w:vAlign w:val="center"/>
          </w:tcPr>
          <w:p w14:paraId="7ACE5B7E" w14:textId="77777777" w:rsidR="00AD3C3D" w:rsidRPr="00930E88" w:rsidRDefault="00AD3C3D" w:rsidP="003F4366">
            <w:pPr>
              <w:jc w:val="center"/>
              <w:rPr>
                <w:rFonts w:ascii="Calibri" w:hAnsi="Calibri" w:cs="Calibri"/>
                <w:b/>
                <w:bCs/>
                <w:color w:val="595959" w:themeColor="text1" w:themeTint="A6"/>
                <w:sz w:val="18"/>
                <w:szCs w:val="18"/>
                <w:lang w:val="en-US"/>
              </w:rPr>
            </w:pPr>
            <w:r w:rsidRPr="00930E88">
              <w:rPr>
                <w:rFonts w:ascii="Calibri" w:hAnsi="Calibri" w:cs="Calibri"/>
                <w:b/>
                <w:bCs/>
                <w:color w:val="595959" w:themeColor="text1" w:themeTint="A6"/>
                <w:sz w:val="18"/>
                <w:szCs w:val="18"/>
              </w:rPr>
              <w:t>-1</w:t>
            </w:r>
            <w:r w:rsidRPr="00930E88">
              <w:rPr>
                <w:rFonts w:ascii="Calibri" w:hAnsi="Calibri" w:cs="Calibri"/>
                <w:b/>
                <w:bCs/>
                <w:color w:val="595959" w:themeColor="text1" w:themeTint="A6"/>
                <w:sz w:val="18"/>
                <w:szCs w:val="18"/>
                <w:lang w:val="en-US"/>
              </w:rPr>
              <w:t>3</w:t>
            </w:r>
            <w:r w:rsidRPr="00930E88">
              <w:rPr>
                <w:rFonts w:ascii="Calibri" w:hAnsi="Calibri" w:cs="Calibri"/>
                <w:b/>
                <w:bCs/>
                <w:color w:val="595959" w:themeColor="text1" w:themeTint="A6"/>
                <w:sz w:val="18"/>
                <w:szCs w:val="18"/>
              </w:rPr>
              <w:t>.</w:t>
            </w:r>
            <w:r w:rsidRPr="00930E88">
              <w:rPr>
                <w:rFonts w:ascii="Calibri" w:hAnsi="Calibri" w:cs="Calibri"/>
                <w:b/>
                <w:bCs/>
                <w:color w:val="595959" w:themeColor="text1" w:themeTint="A6"/>
                <w:sz w:val="18"/>
                <w:szCs w:val="18"/>
                <w:lang w:val="en-US"/>
              </w:rPr>
              <w:t>582</w:t>
            </w:r>
          </w:p>
        </w:tc>
        <w:tc>
          <w:tcPr>
            <w:tcW w:w="1113" w:type="dxa"/>
            <w:tcBorders>
              <w:top w:val="single" w:sz="4" w:space="0" w:color="auto"/>
              <w:left w:val="nil"/>
              <w:bottom w:val="single" w:sz="4" w:space="0" w:color="auto"/>
              <w:right w:val="nil"/>
            </w:tcBorders>
            <w:shd w:val="clear" w:color="auto" w:fill="auto"/>
            <w:noWrap/>
            <w:vAlign w:val="center"/>
          </w:tcPr>
          <w:p w14:paraId="5998E2F7" w14:textId="77777777" w:rsidR="00AD3C3D" w:rsidRPr="00930E88" w:rsidRDefault="00AD3C3D" w:rsidP="003F4366">
            <w:pPr>
              <w:jc w:val="center"/>
              <w:rPr>
                <w:rFonts w:ascii="Calibri" w:hAnsi="Calibri" w:cs="Calibri"/>
                <w:b/>
                <w:bCs/>
                <w:color w:val="595959" w:themeColor="text1" w:themeTint="A6"/>
                <w:sz w:val="18"/>
                <w:szCs w:val="18"/>
              </w:rPr>
            </w:pPr>
            <w:r w:rsidRPr="00930E88">
              <w:rPr>
                <w:rFonts w:ascii="Calibri" w:hAnsi="Calibri" w:cs="Calibri"/>
                <w:b/>
                <w:bCs/>
                <w:color w:val="595959" w:themeColor="text1" w:themeTint="A6"/>
                <w:sz w:val="18"/>
                <w:szCs w:val="18"/>
              </w:rPr>
              <w:t>-</w:t>
            </w:r>
            <w:r w:rsidR="001E4CF6" w:rsidRPr="00930E88">
              <w:rPr>
                <w:rFonts w:ascii="Calibri" w:hAnsi="Calibri" w:cs="Calibri"/>
                <w:b/>
                <w:bCs/>
                <w:color w:val="595959" w:themeColor="text1" w:themeTint="A6"/>
                <w:sz w:val="18"/>
                <w:szCs w:val="18"/>
              </w:rPr>
              <w:t>11</w:t>
            </w:r>
            <w:r w:rsidRPr="00930E88">
              <w:rPr>
                <w:rFonts w:ascii="Calibri" w:hAnsi="Calibri" w:cs="Calibri"/>
                <w:b/>
                <w:bCs/>
                <w:color w:val="595959" w:themeColor="text1" w:themeTint="A6"/>
                <w:sz w:val="18"/>
                <w:szCs w:val="18"/>
              </w:rPr>
              <w:t>.</w:t>
            </w:r>
            <w:r w:rsidRPr="00930E88">
              <w:rPr>
                <w:rFonts w:ascii="Calibri" w:hAnsi="Calibri" w:cs="Calibri"/>
                <w:b/>
                <w:bCs/>
                <w:color w:val="595959" w:themeColor="text1" w:themeTint="A6"/>
                <w:sz w:val="18"/>
                <w:szCs w:val="18"/>
                <w:lang w:val="en-US"/>
              </w:rPr>
              <w:t>3</w:t>
            </w:r>
            <w:r w:rsidR="001E4CF6" w:rsidRPr="00930E88">
              <w:rPr>
                <w:rFonts w:ascii="Calibri" w:hAnsi="Calibri" w:cs="Calibri"/>
                <w:b/>
                <w:bCs/>
                <w:color w:val="595959" w:themeColor="text1" w:themeTint="A6"/>
                <w:sz w:val="18"/>
                <w:szCs w:val="18"/>
              </w:rPr>
              <w:t>22</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5947F0AD" w14:textId="77777777" w:rsidR="00AD3C3D" w:rsidRPr="00930E88" w:rsidRDefault="001E4CF6" w:rsidP="003F4366">
            <w:pPr>
              <w:jc w:val="center"/>
              <w:rPr>
                <w:rFonts w:ascii="Calibri" w:hAnsi="Calibri" w:cs="Calibri"/>
                <w:b/>
                <w:bCs/>
                <w:color w:val="595959" w:themeColor="text1" w:themeTint="A6"/>
                <w:sz w:val="18"/>
                <w:szCs w:val="18"/>
                <w:lang w:val="en-US"/>
              </w:rPr>
            </w:pPr>
            <w:r w:rsidRPr="00930E88">
              <w:rPr>
                <w:rFonts w:ascii="Calibri" w:hAnsi="Calibri" w:cs="Calibri"/>
                <w:b/>
                <w:bCs/>
                <w:color w:val="595959" w:themeColor="text1" w:themeTint="A6"/>
                <w:sz w:val="18"/>
                <w:szCs w:val="18"/>
              </w:rPr>
              <w:t>2</w:t>
            </w:r>
            <w:r w:rsidR="00AD3C3D" w:rsidRPr="00930E88">
              <w:rPr>
                <w:rFonts w:ascii="Calibri" w:hAnsi="Calibri" w:cs="Calibri"/>
                <w:b/>
                <w:bCs/>
                <w:color w:val="595959" w:themeColor="text1" w:themeTint="A6"/>
                <w:sz w:val="18"/>
                <w:szCs w:val="18"/>
              </w:rPr>
              <w:t>.26</w:t>
            </w:r>
            <w:r w:rsidRPr="00930E88">
              <w:rPr>
                <w:rFonts w:ascii="Calibri" w:hAnsi="Calibri" w:cs="Calibri"/>
                <w:b/>
                <w:bCs/>
                <w:color w:val="595959" w:themeColor="text1" w:themeTint="A6"/>
                <w:sz w:val="18"/>
                <w:szCs w:val="18"/>
              </w:rPr>
              <w:t>0</w:t>
            </w:r>
          </w:p>
        </w:tc>
      </w:tr>
      <w:tr w:rsidR="00AD3C3D" w:rsidRPr="00930E88" w14:paraId="03E84ECD" w14:textId="77777777" w:rsidTr="003F4366">
        <w:trPr>
          <w:trHeight w:val="132"/>
          <w:jc w:val="center"/>
        </w:trPr>
        <w:tc>
          <w:tcPr>
            <w:tcW w:w="8306" w:type="dxa"/>
            <w:gridSpan w:val="4"/>
            <w:tcBorders>
              <w:top w:val="single" w:sz="4" w:space="0" w:color="auto"/>
            </w:tcBorders>
            <w:noWrap/>
            <w:hideMark/>
          </w:tcPr>
          <w:p w14:paraId="7FBCAA90" w14:textId="77777777" w:rsidR="00AD3C3D" w:rsidRPr="00930E88" w:rsidRDefault="00AD3C3D" w:rsidP="003F4366">
            <w:pPr>
              <w:rPr>
                <w:rFonts w:ascii="Calibri" w:eastAsia="Calibri" w:hAnsi="Calibri" w:cs="Calibri"/>
                <w:color w:val="595959" w:themeColor="text1" w:themeTint="A6"/>
                <w:sz w:val="18"/>
                <w:szCs w:val="18"/>
              </w:rPr>
            </w:pPr>
            <w:r w:rsidRPr="00930E88">
              <w:rPr>
                <w:rFonts w:ascii="Calibri" w:eastAsia="Calibri" w:hAnsi="Calibri" w:cs="Calibri"/>
                <w:bCs/>
                <w:color w:val="595959" w:themeColor="text1" w:themeTint="A6"/>
                <w:sz w:val="18"/>
                <w:szCs w:val="18"/>
              </w:rPr>
              <w:t>Πηγή:</w:t>
            </w:r>
            <w:r w:rsidRPr="00930E88">
              <w:rPr>
                <w:rFonts w:ascii="Calibri" w:eastAsia="Calibri" w:hAnsi="Calibri" w:cs="Calibri"/>
                <w:iCs/>
                <w:color w:val="595959" w:themeColor="text1" w:themeTint="A6"/>
                <w:sz w:val="18"/>
                <w:szCs w:val="18"/>
              </w:rPr>
              <w:t xml:space="preserve"> Εκτέλεση </w:t>
            </w:r>
            <w:r w:rsidR="00FD4A10" w:rsidRPr="00930E88">
              <w:rPr>
                <w:rFonts w:ascii="Calibri" w:eastAsia="Calibri" w:hAnsi="Calibri" w:cs="Calibri"/>
                <w:iCs/>
                <w:color w:val="595959" w:themeColor="text1" w:themeTint="A6"/>
                <w:sz w:val="18"/>
                <w:szCs w:val="18"/>
              </w:rPr>
              <w:t>Π</w:t>
            </w:r>
            <w:r w:rsidRPr="00930E88">
              <w:rPr>
                <w:rFonts w:ascii="Calibri" w:eastAsia="Calibri" w:hAnsi="Calibri" w:cs="Calibri"/>
                <w:iCs/>
                <w:color w:val="595959" w:themeColor="text1" w:themeTint="A6"/>
                <w:sz w:val="18"/>
                <w:szCs w:val="18"/>
              </w:rPr>
              <w:t xml:space="preserve">ροϋπολογισμού </w:t>
            </w:r>
            <w:hyperlink r:id="rId50" w:history="1">
              <w:r w:rsidRPr="00930E88">
                <w:rPr>
                  <w:rFonts w:ascii="Calibri" w:eastAsia="Calibri" w:hAnsi="Calibri" w:cs="Times New Roman"/>
                  <w:color w:val="595959" w:themeColor="text1" w:themeTint="A6"/>
                  <w:sz w:val="18"/>
                  <w:szCs w:val="18"/>
                  <w:u w:val="single"/>
                </w:rPr>
                <w:t>Κράτους</w:t>
              </w:r>
            </w:hyperlink>
            <w:r w:rsidRPr="00930E88">
              <w:rPr>
                <w:rFonts w:ascii="Calibri" w:eastAsia="Calibri" w:hAnsi="Calibri" w:cs="Calibri"/>
                <w:iCs/>
                <w:color w:val="595959" w:themeColor="text1" w:themeTint="A6"/>
                <w:sz w:val="18"/>
                <w:szCs w:val="18"/>
              </w:rPr>
              <w:t xml:space="preserve"> και </w:t>
            </w:r>
            <w:hyperlink r:id="rId51" w:history="1">
              <w:r w:rsidRPr="00930E88">
                <w:rPr>
                  <w:rFonts w:ascii="Calibri" w:eastAsia="Calibri" w:hAnsi="Calibri" w:cs="Times New Roman"/>
                  <w:color w:val="595959" w:themeColor="text1" w:themeTint="A6"/>
                  <w:sz w:val="18"/>
                  <w:szCs w:val="18"/>
                  <w:u w:val="single"/>
                </w:rPr>
                <w:t>Γενικής Κυβέρνησης</w:t>
              </w:r>
            </w:hyperlink>
            <w:r w:rsidRPr="00930E88">
              <w:rPr>
                <w:rFonts w:ascii="Calibri" w:eastAsia="Calibri" w:hAnsi="Calibri" w:cs="Calibri"/>
                <w:iCs/>
                <w:color w:val="595959" w:themeColor="text1" w:themeTint="A6"/>
                <w:sz w:val="18"/>
                <w:szCs w:val="18"/>
              </w:rPr>
              <w:t>, εκτιμήσεις ΓΠΚΒ</w:t>
            </w:r>
          </w:p>
        </w:tc>
      </w:tr>
    </w:tbl>
    <w:p w14:paraId="0223C4F3" w14:textId="77777777" w:rsidR="00AD3C3D" w:rsidRPr="00143A98" w:rsidRDefault="00AD3C3D" w:rsidP="00AD3C3D">
      <w:pPr>
        <w:spacing w:after="0"/>
      </w:pPr>
      <w:bookmarkStart w:id="84" w:name="_Toc8397242"/>
    </w:p>
    <w:p w14:paraId="314753C7" w14:textId="77777777" w:rsidR="00AD3C3D" w:rsidRPr="00143A98" w:rsidRDefault="00AD3C3D" w:rsidP="00AD3C3D">
      <w:pPr>
        <w:pStyle w:val="Heading3"/>
        <w:spacing w:before="0" w:line="240" w:lineRule="auto"/>
        <w:rPr>
          <w:rFonts w:ascii="Calibri Light" w:eastAsia="Times New Roman" w:hAnsi="Calibri Light" w:cs="Times New Roman"/>
          <w:color w:val="4472C4"/>
          <w:sz w:val="26"/>
          <w:szCs w:val="26"/>
        </w:rPr>
      </w:pPr>
      <w:bookmarkStart w:id="85" w:name="_Toc98160529"/>
      <w:r w:rsidRPr="00143A98">
        <w:rPr>
          <w:rFonts w:eastAsia="Calibri"/>
        </w:rPr>
        <w:t>Μεθοδολογικές Διευκρινίσεις</w:t>
      </w:r>
      <w:bookmarkEnd w:id="84"/>
      <w:bookmarkEnd w:id="85"/>
    </w:p>
    <w:p w14:paraId="1865C74C" w14:textId="77777777" w:rsidR="00AD3C3D" w:rsidRPr="00143A98" w:rsidRDefault="00AD3C3D" w:rsidP="00AD3C3D">
      <w:pPr>
        <w:spacing w:after="0" w:line="240" w:lineRule="auto"/>
        <w:rPr>
          <w:rFonts w:ascii="Calibri" w:eastAsia="Calibri" w:hAnsi="Calibri" w:cs="Times New Roman"/>
        </w:rPr>
      </w:pPr>
    </w:p>
    <w:p w14:paraId="139B7C77" w14:textId="77777777" w:rsidR="00AD3C3D" w:rsidRPr="00143A98" w:rsidRDefault="00AD3C3D" w:rsidP="00AD3C3D">
      <w:pPr>
        <w:spacing w:line="240" w:lineRule="auto"/>
        <w:jc w:val="both"/>
        <w:rPr>
          <w:rFonts w:ascii="Calibri" w:eastAsia="Calibri" w:hAnsi="Calibri" w:cs="Calibri"/>
          <w:color w:val="595959"/>
        </w:rPr>
      </w:pPr>
      <w:r w:rsidRPr="00143A98">
        <w:rPr>
          <w:rFonts w:ascii="Calibri" w:eastAsia="Calibri" w:hAnsi="Calibri" w:cs="Calibri"/>
          <w:color w:val="595959"/>
        </w:rPr>
        <w:t xml:space="preserve">Τα στοιχεία του Κρατικού προϋπολογισμού προέρχονται από το </w:t>
      </w:r>
      <w:hyperlink r:id="rId52" w:history="1">
        <w:r w:rsidRPr="00143A98">
          <w:rPr>
            <w:color w:val="595959"/>
            <w:u w:val="single"/>
          </w:rPr>
          <w:t>μηνιαίο δελτίο εκτέλεσης Κρατικού Προϋπολογισμού</w:t>
        </w:r>
      </w:hyperlink>
      <w:r w:rsidRPr="00143A98">
        <w:rPr>
          <w:rFonts w:ascii="Calibri" w:eastAsia="Calibri" w:hAnsi="Calibri" w:cs="Calibri"/>
          <w:color w:val="595959"/>
        </w:rPr>
        <w:t xml:space="preserve"> ενώ τα στοιχεία των λοιπών υποτομέων της Γενικής Κυβέρνησης από το </w:t>
      </w:r>
      <w:hyperlink r:id="rId53" w:history="1">
        <w:r w:rsidRPr="00143A98">
          <w:rPr>
            <w:color w:val="595959"/>
            <w:u w:val="single"/>
          </w:rPr>
          <w:t>μηνιαίο δελτίο της Γενικής Κυβέρνησης</w:t>
        </w:r>
      </w:hyperlink>
      <w:r w:rsidRPr="00143A98">
        <w:rPr>
          <w:rFonts w:ascii="Calibri" w:eastAsia="Calibri" w:hAnsi="Calibri" w:cs="Calibri"/>
          <w:color w:val="595959"/>
        </w:rPr>
        <w:t xml:space="preserve"> όπως δημοσιεύονται στην ιστοσελίδα του Υπουργείου Οικονομικών.</w:t>
      </w:r>
      <w:r w:rsidRPr="00420727">
        <w:rPr>
          <w:rFonts w:ascii="Calibri" w:eastAsia="Calibri" w:hAnsi="Calibri" w:cs="Calibri"/>
          <w:color w:val="595959"/>
        </w:rPr>
        <w:t xml:space="preserve"> </w:t>
      </w:r>
      <w:r w:rsidRPr="00143A98">
        <w:rPr>
          <w:rFonts w:ascii="Calibri" w:eastAsia="Calibri" w:hAnsi="Calibri" w:cs="Calibri"/>
          <w:color w:val="595959"/>
        </w:rPr>
        <w:t xml:space="preserve">Σημειώνεται ότι το δελτίο εκτέλεσης του κρατικού προϋπολογισμού έχει αλλάξει από τον Ιανουάριο του 2019 στα πρότυπα του νέου Λογιστικού Σχεδίου. </w:t>
      </w:r>
    </w:p>
    <w:p w14:paraId="4F028A24" w14:textId="77777777" w:rsidR="00AD3C3D" w:rsidRPr="00143A98" w:rsidRDefault="00AD3C3D" w:rsidP="00AD3C3D">
      <w:pPr>
        <w:spacing w:line="240" w:lineRule="auto"/>
        <w:jc w:val="both"/>
        <w:rPr>
          <w:rFonts w:ascii="Calibri" w:eastAsia="Calibri" w:hAnsi="Calibri" w:cs="Calibri"/>
          <w:color w:val="595959"/>
        </w:rPr>
      </w:pPr>
      <w:r w:rsidRPr="00143A98">
        <w:rPr>
          <w:rFonts w:ascii="Calibri" w:eastAsia="Calibri" w:hAnsi="Calibri" w:cs="Calibri"/>
          <w:color w:val="595959"/>
        </w:rPr>
        <w:t>Υπάρχουν δύο ιδιαιτερότητες στη χρήση των δελτίων για τις ανάγκες του παρόντος πίνακα. Η</w:t>
      </w:r>
      <w:r w:rsidRPr="00420727">
        <w:rPr>
          <w:rFonts w:ascii="Calibri" w:eastAsia="Calibri" w:hAnsi="Calibri" w:cs="Calibri"/>
          <w:color w:val="595959"/>
        </w:rPr>
        <w:t xml:space="preserve"> </w:t>
      </w:r>
      <w:r w:rsidRPr="00143A98">
        <w:rPr>
          <w:rFonts w:ascii="Calibri" w:eastAsia="Calibri" w:hAnsi="Calibri" w:cs="Calibri"/>
          <w:color w:val="595959"/>
        </w:rPr>
        <w:t xml:space="preserve"> πρώτη αφορά το ταμειακό αποτέλεσμα του κράτους στο δελτίο της Γενικής Κυβέρνησης που δεν είναι ίδιο με εκείνο που δημοσιεύεται στο δελτίο του Κράτους (βλ. προσαρμογές στη σελίδα 30 του Δελτίου Γενικής Κυβέρνησης). Για λόγους απλούστευσης, τα ταμειακά στοιχεία που παρουσιάζουμε προέρχονται από το δελτίο του Κράτους όπως εμφανίζεται στο στοιχείο 3 του πίνακα (βλ. και πληροφοριακά στοιχεία του πίνακα για το Πρωτογενές Αποτέλεσμα Κρατικού Προϋπολογισμού) και περιλαμβάνουν την επίπτωση του προγράμματος εξόφλησης υποχρεώσεων παρελθόντων ετών και εκκρεμών αιτήσεων συνταξιοδότησης. Επιπρόσθετα, δεν περιλαμβάνουμε τα έσοδα από το Πρόγραμμα Δημοσίων Επενδύσεων (ΠΔΕ) στα μη Φορολογικά και μη Τακτικά έσοδα του Κρατικού Προϋπολογισμού, αλλά τα εμφανίζουμε ως ξεχωριστή κατηγορία εσόδων.</w:t>
      </w:r>
    </w:p>
    <w:p w14:paraId="2F7A67A9" w14:textId="77777777" w:rsidR="00AD3C3D" w:rsidRPr="00143A98" w:rsidRDefault="00AD3C3D" w:rsidP="00AD3C3D">
      <w:pPr>
        <w:spacing w:line="240" w:lineRule="auto"/>
        <w:jc w:val="both"/>
        <w:rPr>
          <w:rFonts w:ascii="Calibri" w:eastAsia="Calibri" w:hAnsi="Calibri" w:cs="Calibri"/>
          <w:color w:val="595959"/>
        </w:rPr>
      </w:pPr>
      <w:r w:rsidRPr="00143A98">
        <w:rPr>
          <w:rFonts w:ascii="Calibri" w:eastAsia="Calibri" w:hAnsi="Calibri" w:cs="Calibri"/>
          <w:color w:val="595959"/>
        </w:rPr>
        <w:t>Η δεύτερη αφορά τους ενδοκυβερνητικούς τόκους, δηλαδή τους τόκους</w:t>
      </w:r>
      <w:r w:rsidRPr="00420727">
        <w:rPr>
          <w:rFonts w:ascii="Calibri" w:eastAsia="Calibri" w:hAnsi="Calibri" w:cs="Calibri"/>
          <w:color w:val="595959"/>
        </w:rPr>
        <w:t xml:space="preserve"> </w:t>
      </w:r>
      <w:r w:rsidRPr="00143A98">
        <w:rPr>
          <w:rFonts w:ascii="Calibri" w:eastAsia="Calibri" w:hAnsi="Calibri" w:cs="Calibri"/>
          <w:color w:val="595959"/>
        </w:rPr>
        <w:t xml:space="preserve"> που καταβάλλει το κράτος στους φορείς της Γενικής Κυβέρνησης που κατέχουν κρατικούς τίτλους – κυρίως repos. </w:t>
      </w:r>
      <w:r w:rsidRPr="00420727">
        <w:rPr>
          <w:rFonts w:ascii="Calibri" w:eastAsia="Calibri" w:hAnsi="Calibri" w:cs="Calibri"/>
          <w:color w:val="595959"/>
        </w:rPr>
        <w:t xml:space="preserve"> </w:t>
      </w:r>
      <w:r w:rsidRPr="00143A98">
        <w:rPr>
          <w:rFonts w:ascii="Calibri" w:eastAsia="Calibri" w:hAnsi="Calibri" w:cs="Calibri"/>
          <w:color w:val="595959"/>
        </w:rPr>
        <w:t>Αυτοί έχουν μεν εξουδετερωθεί από το πρωτογενές αποτέλεσμα του κράτους (αφού συμπεριλαμβάνονται στις δαπάνες για τόκους),</w:t>
      </w:r>
      <w:r w:rsidRPr="00420727">
        <w:rPr>
          <w:rFonts w:ascii="Calibri" w:eastAsia="Calibri" w:hAnsi="Calibri" w:cs="Calibri"/>
          <w:color w:val="595959"/>
        </w:rPr>
        <w:t xml:space="preserve"> </w:t>
      </w:r>
      <w:r w:rsidRPr="00143A98">
        <w:rPr>
          <w:rFonts w:ascii="Calibri" w:eastAsia="Calibri" w:hAnsi="Calibri" w:cs="Calibri"/>
          <w:color w:val="595959"/>
        </w:rPr>
        <w:t>παραμένουν όμως στα έσοδα των υποτομέων. Το ύψος τους ισούται με το άθροισμα των πρωτογενών αποτελεσμάτων των επιμέρους υποτομέων,</w:t>
      </w:r>
      <w:r w:rsidRPr="00420727">
        <w:rPr>
          <w:rFonts w:ascii="Calibri" w:eastAsia="Calibri" w:hAnsi="Calibri" w:cs="Calibri"/>
          <w:color w:val="595959"/>
        </w:rPr>
        <w:t xml:space="preserve"> </w:t>
      </w:r>
      <w:r w:rsidRPr="00143A98">
        <w:rPr>
          <w:rFonts w:ascii="Calibri" w:eastAsia="Calibri" w:hAnsi="Calibri" w:cs="Calibri"/>
          <w:color w:val="595959"/>
        </w:rPr>
        <w:t>μείον το ενοποιημένο πρωτογενές αποτέλεσμα της Γενικής Κυβέρνησης (βλ. σελ. 2 Δελτίου Γενικής Κυβέρνησης). Στον πίνακά μας η ενοποίηση των ενδοκυβερνητικών τόκων γίνεται μαζί με τις υπόλοιπες τελικές προσαρμογές.</w:t>
      </w:r>
    </w:p>
    <w:p w14:paraId="05E79D68" w14:textId="77777777" w:rsidR="00AD3C3D" w:rsidRPr="00143A98" w:rsidRDefault="00AD3C3D" w:rsidP="00AD3C3D">
      <w:pPr>
        <w:spacing w:line="240" w:lineRule="auto"/>
        <w:jc w:val="both"/>
        <w:rPr>
          <w:rFonts w:ascii="Calibri" w:eastAsia="Calibri" w:hAnsi="Calibri" w:cs="Calibri"/>
          <w:color w:val="595959"/>
        </w:rPr>
      </w:pPr>
      <w:r w:rsidRPr="00143A98">
        <w:rPr>
          <w:rFonts w:ascii="Calibri" w:eastAsia="Calibri" w:hAnsi="Calibri" w:cs="Calibri"/>
          <w:color w:val="595959"/>
        </w:rPr>
        <w:t xml:space="preserve">Οι υπόλοιπες προσαρμογές είναι η μεταβολή των ληξιπρόθεσμων υποχρεώσεων της Γενικής Κυβέρνησης (προσεγγιστικό μέγεθος για τη μεταβολή των απλήρωτων υποχρεώσεων), τα έσοδα από ANFAs και SMPs (περιλαμβάνονται κατά </w:t>
      </w:r>
      <w:r w:rsidRPr="00143A98">
        <w:rPr>
          <w:rFonts w:ascii="Calibri" w:eastAsia="Calibri" w:hAnsi="Calibri" w:cs="Calibri"/>
          <w:color w:val="595959"/>
          <w:lang w:val="en-US"/>
        </w:rPr>
        <w:t>ESA</w:t>
      </w:r>
      <w:r w:rsidRPr="00143A98">
        <w:rPr>
          <w:rFonts w:ascii="Calibri" w:eastAsia="Calibri" w:hAnsi="Calibri" w:cs="Calibri"/>
          <w:color w:val="595959"/>
        </w:rPr>
        <w:t xml:space="preserve"> αλλά εξαιρούνται από τη μεθοδολογία της ενισχυμένης εποπτείας) και οι πωλήσεις πάγιων περιουσιακών στοιχείων</w:t>
      </w:r>
      <w:r w:rsidRPr="00143A98">
        <w:rPr>
          <w:rStyle w:val="FootnoteReference"/>
          <w:rFonts w:ascii="Calibri" w:eastAsia="Calibri" w:hAnsi="Calibri" w:cs="Calibri"/>
          <w:color w:val="595959"/>
        </w:rPr>
        <w:footnoteReference w:id="2"/>
      </w:r>
      <w:r w:rsidRPr="00143A98">
        <w:rPr>
          <w:rFonts w:ascii="Calibri" w:eastAsia="Calibri" w:hAnsi="Calibri" w:cs="Calibri"/>
          <w:color w:val="595959"/>
        </w:rPr>
        <w:t xml:space="preserve">(υπολογίζονται κατά </w:t>
      </w:r>
      <w:r w:rsidRPr="00143A98">
        <w:rPr>
          <w:rFonts w:ascii="Calibri" w:eastAsia="Calibri" w:hAnsi="Calibri" w:cs="Calibri"/>
          <w:color w:val="595959"/>
          <w:lang w:val="en-US"/>
        </w:rPr>
        <w:t>ESA</w:t>
      </w:r>
      <w:r w:rsidRPr="00143A98">
        <w:rPr>
          <w:rFonts w:ascii="Calibri" w:eastAsia="Calibri" w:hAnsi="Calibri" w:cs="Calibri"/>
          <w:color w:val="595959"/>
        </w:rPr>
        <w:t xml:space="preserve"> αλλά εξαιρούνται με τη σύμβαση ενισχυμένης εποπτείας). </w:t>
      </w:r>
    </w:p>
    <w:p w14:paraId="218E5E8C" w14:textId="77777777" w:rsidR="00AD3C3D" w:rsidRPr="00C122EF" w:rsidRDefault="00AD3C3D" w:rsidP="00AD3C3D">
      <w:pPr>
        <w:spacing w:after="0" w:line="240" w:lineRule="auto"/>
        <w:jc w:val="both"/>
        <w:rPr>
          <w:rFonts w:ascii="Calibri" w:eastAsia="Calibri" w:hAnsi="Calibri" w:cs="Times New Roman"/>
          <w:color w:val="595959"/>
        </w:rPr>
      </w:pPr>
      <w:r w:rsidRPr="00143A98">
        <w:rPr>
          <w:rFonts w:ascii="Calibri" w:eastAsia="Calibri" w:hAnsi="Calibri" w:cs="Times New Roman"/>
          <w:color w:val="595959"/>
        </w:rPr>
        <w:t xml:space="preserve">Σημειώνεται, τέλος, ότι το Ενοποιημένο Πρωτογενές Αποτέλεσμα με Προσαρμογές που παρουσιάζουμε είναι μια εκτίμηση που διευκολύνει τη σύγκριση με το αντίστοιχο διάστημα του προηγούμενου έτους (που έχει υπολογιστεί με την ίδια μεθοδολογία) και επιτρέπει την </w:t>
      </w:r>
      <w:r w:rsidRPr="00143A98">
        <w:rPr>
          <w:rFonts w:ascii="Calibri" w:eastAsia="Calibri" w:hAnsi="Calibri" w:cs="Times New Roman"/>
          <w:color w:val="595959"/>
        </w:rPr>
        <w:lastRenderedPageBreak/>
        <w:t>παρακολούθηση της δημοσιονομικής πορείας κατά το τρέχον έτος. Τονίζουμε, ωστόσο, ότι δεν είναι συγκρίσιμο με το αποτέλεσμα που δημοσιεύει η ΕΛΣΤΑΤ ακολουθώντας τη μεθοδολογία ESA ούτε με εκείνο που δημοσιοποιεί το ΓΛΚ ακολουθώντας τη μεθοδολογία της ενισχυμένης εποπτείας. Αυτά τα τελευταία είναι τα μόνα επίσημα αποτελέσματα και περιλαμβάνουν επιπλέον προσαρμογές όπως η χρονική μεταχείριση επιμέρους φορολογικών εσόδων,</w:t>
      </w:r>
      <w:r w:rsidRPr="00420727">
        <w:rPr>
          <w:rFonts w:ascii="Calibri" w:eastAsia="Calibri" w:hAnsi="Calibri" w:cs="Times New Roman"/>
          <w:color w:val="595959"/>
        </w:rPr>
        <w:t xml:space="preserve"> </w:t>
      </w:r>
      <w:r w:rsidRPr="00143A98">
        <w:rPr>
          <w:rFonts w:ascii="Calibri" w:eastAsia="Calibri" w:hAnsi="Calibri" w:cs="Times New Roman"/>
          <w:color w:val="595959"/>
        </w:rPr>
        <w:t>η διαφορά πληρωμών από φυσικές παραλαβές εξοπλιστικών, η διαφορά εισπράξεων από αιτήματα πληρωμής (claims) ΠΔΕ, τα οριστικά στοιχεία μεταβολής των απλήρωτων υποχρεώσεων και εκκρεμών επιστροφών φόρων κ.λπ., οι οποίες απουσιάζουν από τον παραπάνω πίνακα.</w:t>
      </w:r>
    </w:p>
    <w:p w14:paraId="6DCDEA70" w14:textId="77777777" w:rsidR="00457CEC" w:rsidRPr="00C0768F" w:rsidRDefault="00457CEC" w:rsidP="005A6A28">
      <w:pPr>
        <w:spacing w:after="0"/>
        <w:jc w:val="both"/>
        <w:rPr>
          <w:rFonts w:asciiTheme="majorHAnsi" w:eastAsia="Times New Roman" w:hAnsiTheme="majorHAnsi" w:cstheme="majorHAnsi"/>
          <w:b/>
          <w:color w:val="595959" w:themeColor="text1" w:themeTint="A6"/>
        </w:rPr>
      </w:pPr>
    </w:p>
    <w:p w14:paraId="0FA7B2C4" w14:textId="77777777" w:rsidR="00FC3258" w:rsidRPr="001853D9" w:rsidRDefault="00FC3258" w:rsidP="001853D9">
      <w:pPr>
        <w:pStyle w:val="Heading2"/>
        <w:spacing w:before="0"/>
        <w:rPr>
          <w:rFonts w:eastAsia="Times New Roman" w:cstheme="majorHAnsi"/>
        </w:rPr>
      </w:pPr>
      <w:bookmarkStart w:id="86" w:name="_Toc82689372"/>
      <w:bookmarkStart w:id="87" w:name="_Toc82713970"/>
      <w:bookmarkStart w:id="88" w:name="_Toc82714704"/>
      <w:bookmarkStart w:id="89" w:name="_Toc98160530"/>
      <w:r w:rsidRPr="001853D9">
        <w:rPr>
          <w:rFonts w:eastAsia="Times New Roman" w:cstheme="majorHAnsi"/>
        </w:rPr>
        <w:t>2.</w:t>
      </w:r>
      <w:r w:rsidR="00A83F83" w:rsidRPr="001853D9">
        <w:rPr>
          <w:rFonts w:eastAsia="Times New Roman" w:cstheme="majorHAnsi"/>
        </w:rPr>
        <w:t>2</w:t>
      </w:r>
      <w:r w:rsidR="00E337B5" w:rsidRPr="001853D9">
        <w:rPr>
          <w:rFonts w:eastAsia="Times New Roman" w:cstheme="majorHAnsi"/>
        </w:rPr>
        <w:t>.</w:t>
      </w:r>
      <w:r w:rsidRPr="001853D9">
        <w:rPr>
          <w:rFonts w:eastAsia="Times New Roman" w:cstheme="majorHAnsi"/>
        </w:rPr>
        <w:t xml:space="preserve"> Ληξιπρόθεσμες υποχρεώσεις και απαιτήσεις Δημοσίου</w:t>
      </w:r>
      <w:bookmarkEnd w:id="76"/>
      <w:bookmarkEnd w:id="77"/>
      <w:bookmarkEnd w:id="78"/>
      <w:bookmarkEnd w:id="86"/>
      <w:bookmarkEnd w:id="87"/>
      <w:bookmarkEnd w:id="88"/>
      <w:bookmarkEnd w:id="89"/>
    </w:p>
    <w:p w14:paraId="2F81C838" w14:textId="77777777" w:rsidR="00853483" w:rsidRPr="001853D9" w:rsidRDefault="00853483" w:rsidP="005A6A28">
      <w:pPr>
        <w:spacing w:after="0" w:line="276" w:lineRule="auto"/>
        <w:jc w:val="both"/>
        <w:rPr>
          <w:rFonts w:asciiTheme="majorHAnsi" w:hAnsiTheme="majorHAnsi" w:cstheme="majorHAnsi"/>
        </w:rPr>
      </w:pPr>
    </w:p>
    <w:p w14:paraId="20EADCF8" w14:textId="77777777" w:rsidR="00E834CA" w:rsidRPr="001853D9" w:rsidRDefault="00E834CA" w:rsidP="001853D9">
      <w:pPr>
        <w:pStyle w:val="Heading3"/>
        <w:spacing w:before="0"/>
        <w:rPr>
          <w:rFonts w:cstheme="majorHAnsi"/>
        </w:rPr>
      </w:pPr>
      <w:bookmarkStart w:id="90" w:name="_Toc521341313"/>
      <w:bookmarkStart w:id="91" w:name="_Toc33093581"/>
      <w:bookmarkStart w:id="92" w:name="_Toc82689373"/>
      <w:bookmarkStart w:id="93" w:name="_Toc82713971"/>
      <w:bookmarkStart w:id="94" w:name="_Toc82714705"/>
      <w:bookmarkStart w:id="95" w:name="_Toc98160531"/>
      <w:r w:rsidRPr="001853D9">
        <w:rPr>
          <w:rFonts w:cstheme="majorHAnsi"/>
        </w:rPr>
        <w:t>Ληξιπρόθεσμες υποχρεώσεις δημοσίου</w:t>
      </w:r>
      <w:bookmarkEnd w:id="90"/>
      <w:bookmarkEnd w:id="91"/>
      <w:bookmarkEnd w:id="92"/>
      <w:bookmarkEnd w:id="93"/>
      <w:bookmarkEnd w:id="94"/>
      <w:bookmarkEnd w:id="95"/>
    </w:p>
    <w:p w14:paraId="6D2BDAA7" w14:textId="77777777" w:rsidR="00E11FCD" w:rsidRPr="001853D9" w:rsidRDefault="00E11FCD" w:rsidP="005A6A28">
      <w:pPr>
        <w:spacing w:after="0" w:line="276" w:lineRule="auto"/>
        <w:jc w:val="both"/>
        <w:rPr>
          <w:rFonts w:asciiTheme="majorHAnsi" w:hAnsiTheme="majorHAnsi" w:cstheme="majorHAnsi"/>
        </w:rPr>
      </w:pPr>
    </w:p>
    <w:p w14:paraId="46701A39" w14:textId="77777777" w:rsidR="00E834CA" w:rsidRPr="00C0768F" w:rsidRDefault="00A57564" w:rsidP="005A6A28">
      <w:pPr>
        <w:spacing w:after="0" w:line="276" w:lineRule="auto"/>
        <w:jc w:val="both"/>
        <w:rPr>
          <w:rFonts w:eastAsia="Calibri" w:cstheme="majorHAnsi"/>
          <w:color w:val="595959" w:themeColor="text1" w:themeTint="A6"/>
        </w:rPr>
      </w:pPr>
      <w:r w:rsidRPr="00573885">
        <w:rPr>
          <w:rFonts w:eastAsia="Calibri" w:cstheme="majorHAnsi"/>
          <w:color w:val="595959" w:themeColor="text1" w:themeTint="A6"/>
        </w:rPr>
        <w:t>Ο</w:t>
      </w:r>
      <w:r w:rsidR="00E834CA" w:rsidRPr="00573885">
        <w:rPr>
          <w:rFonts w:eastAsia="Calibri" w:cstheme="majorHAnsi"/>
          <w:color w:val="595959" w:themeColor="text1" w:themeTint="A6"/>
        </w:rPr>
        <w:t>ι ληξιπρόθεσμες υποχρεώσεις του δημοσίου προς τους ιδιώτες διακρίνονται στις ληξιπρόθεσμες δαπάνες για αγορά αγαθών και υπηρεσιών από τους φορείς της Γενικής Κυβέρνησης και στις εκκρεμείς επιστροφές φόρων.</w:t>
      </w:r>
    </w:p>
    <w:p w14:paraId="55AAE9BA" w14:textId="77777777" w:rsidR="00A00390" w:rsidRPr="001853D9" w:rsidRDefault="00A00390" w:rsidP="005A6A28">
      <w:pPr>
        <w:spacing w:after="0" w:line="276" w:lineRule="auto"/>
        <w:jc w:val="both"/>
        <w:rPr>
          <w:rFonts w:asciiTheme="majorHAnsi" w:eastAsia="Calibri" w:hAnsiTheme="majorHAnsi" w:cstheme="majorHAnsi"/>
          <w:color w:val="595959"/>
        </w:rPr>
      </w:pPr>
    </w:p>
    <w:p w14:paraId="18D5696D" w14:textId="77777777" w:rsidR="00581BB1" w:rsidRDefault="00581BB1" w:rsidP="00581BB1">
      <w:pPr>
        <w:pStyle w:val="Caption"/>
        <w:keepNext/>
        <w:jc w:val="center"/>
      </w:pPr>
      <w:bookmarkStart w:id="96" w:name="_Toc98189618"/>
      <w:r>
        <w:t xml:space="preserve">Διάγραμμα </w:t>
      </w:r>
      <w:r w:rsidR="0059099F">
        <w:fldChar w:fldCharType="begin"/>
      </w:r>
      <w:r w:rsidR="0059099F">
        <w:instrText xml:space="preserve"> SEQ Διάγραμμα \* ARABIC </w:instrText>
      </w:r>
      <w:r w:rsidR="0059099F">
        <w:fldChar w:fldCharType="separate"/>
      </w:r>
      <w:r w:rsidR="0009130F">
        <w:rPr>
          <w:noProof/>
        </w:rPr>
        <w:t>5</w:t>
      </w:r>
      <w:r w:rsidR="0059099F">
        <w:rPr>
          <w:noProof/>
        </w:rPr>
        <w:fldChar w:fldCharType="end"/>
      </w:r>
      <w:r w:rsidRPr="00581BB1">
        <w:t xml:space="preserve"> Ληξιπρόθεσμες υποχρεώσεις Γενικής Κυβέρνησης, σε εκατ. ευρώ</w:t>
      </w:r>
      <w:bookmarkEnd w:id="96"/>
    </w:p>
    <w:p w14:paraId="4E3A40CE" w14:textId="77777777" w:rsidR="005C72BF" w:rsidRPr="001853D9" w:rsidRDefault="0015203B" w:rsidP="005A6A28">
      <w:pPr>
        <w:spacing w:after="0" w:line="276" w:lineRule="auto"/>
        <w:jc w:val="center"/>
        <w:rPr>
          <w:rFonts w:asciiTheme="majorHAnsi" w:eastAsia="Calibri" w:hAnsiTheme="majorHAnsi" w:cstheme="majorHAnsi"/>
          <w:color w:val="595959"/>
        </w:rPr>
      </w:pPr>
      <w:r>
        <w:rPr>
          <w:noProof/>
          <w:lang w:val="en-US"/>
        </w:rPr>
        <w:drawing>
          <wp:inline distT="0" distB="0" distL="0" distR="0" wp14:anchorId="3667CC80" wp14:editId="471D1428">
            <wp:extent cx="5274310" cy="3161665"/>
            <wp:effectExtent l="0" t="0" r="2540" b="63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274310" cy="3161665"/>
                    </a:xfrm>
                    <a:prstGeom prst="rect">
                      <a:avLst/>
                    </a:prstGeom>
                    <a:noFill/>
                    <a:ln>
                      <a:noFill/>
                    </a:ln>
                  </pic:spPr>
                </pic:pic>
              </a:graphicData>
            </a:graphic>
          </wp:inline>
        </w:drawing>
      </w:r>
    </w:p>
    <w:p w14:paraId="2BD5003F" w14:textId="77777777" w:rsidR="00E834CA" w:rsidRPr="00C0768F" w:rsidRDefault="00E834CA" w:rsidP="005A6A28">
      <w:pPr>
        <w:spacing w:after="0" w:line="276" w:lineRule="auto"/>
        <w:jc w:val="both"/>
        <w:rPr>
          <w:rFonts w:asciiTheme="majorHAnsi" w:eastAsia="Calibri" w:hAnsiTheme="majorHAnsi" w:cstheme="majorHAnsi"/>
          <w:color w:val="595959" w:themeColor="text1" w:themeTint="A6"/>
        </w:rPr>
      </w:pPr>
    </w:p>
    <w:p w14:paraId="25772976" w14:textId="77777777" w:rsidR="00AD144D" w:rsidRDefault="00E834CA" w:rsidP="00F91410">
      <w:pPr>
        <w:spacing w:after="0" w:line="276" w:lineRule="auto"/>
        <w:jc w:val="both"/>
        <w:rPr>
          <w:rFonts w:eastAsia="Calibri" w:cstheme="majorHAnsi"/>
          <w:color w:val="595959" w:themeColor="text1" w:themeTint="A6"/>
        </w:rPr>
      </w:pPr>
      <w:r w:rsidRPr="00573885">
        <w:rPr>
          <w:rFonts w:eastAsia="Calibri" w:cstheme="majorHAnsi"/>
          <w:color w:val="595959" w:themeColor="text1" w:themeTint="A6"/>
        </w:rPr>
        <w:t xml:space="preserve">Τον </w:t>
      </w:r>
      <w:r w:rsidR="00CA6C54">
        <w:rPr>
          <w:rFonts w:eastAsia="Calibri" w:cstheme="majorHAnsi"/>
          <w:color w:val="595959" w:themeColor="text1" w:themeTint="A6"/>
        </w:rPr>
        <w:t>Ιανουάριο</w:t>
      </w:r>
      <w:r w:rsidRPr="00573885">
        <w:rPr>
          <w:rFonts w:eastAsia="Calibri" w:cstheme="majorHAnsi"/>
          <w:color w:val="595959" w:themeColor="text1" w:themeTint="A6"/>
        </w:rPr>
        <w:t xml:space="preserve"> του 20</w:t>
      </w:r>
      <w:r w:rsidR="003C3FAA" w:rsidRPr="00573885">
        <w:rPr>
          <w:rFonts w:eastAsia="Calibri" w:cstheme="majorHAnsi"/>
          <w:color w:val="595959" w:themeColor="text1" w:themeTint="A6"/>
        </w:rPr>
        <w:t>2</w:t>
      </w:r>
      <w:r w:rsidR="00CA6C54">
        <w:rPr>
          <w:rFonts w:eastAsia="Calibri" w:cstheme="majorHAnsi"/>
          <w:color w:val="595959" w:themeColor="text1" w:themeTint="A6"/>
        </w:rPr>
        <w:t>2</w:t>
      </w:r>
      <w:r w:rsidRPr="00573885">
        <w:rPr>
          <w:rFonts w:eastAsia="Calibri" w:cstheme="majorHAnsi"/>
          <w:color w:val="595959" w:themeColor="text1" w:themeTint="A6"/>
        </w:rPr>
        <w:t xml:space="preserve"> καταγράφηκε </w:t>
      </w:r>
      <w:r w:rsidR="00233CD1" w:rsidRPr="00573885">
        <w:rPr>
          <w:rFonts w:eastAsia="Calibri" w:cstheme="majorHAnsi"/>
          <w:color w:val="595959" w:themeColor="text1" w:themeTint="A6"/>
        </w:rPr>
        <w:t>αύξηση</w:t>
      </w:r>
      <w:r w:rsidRPr="00573885">
        <w:rPr>
          <w:rFonts w:eastAsia="Calibri" w:cstheme="majorHAnsi"/>
          <w:color w:val="595959" w:themeColor="text1" w:themeTint="A6"/>
        </w:rPr>
        <w:t xml:space="preserve"> των συνολικών ληξιπρόθεσμων υποχρεώσεων του Δημοσίου κατά </w:t>
      </w:r>
      <w:r w:rsidR="00057E5B" w:rsidRPr="00057E5B">
        <w:rPr>
          <w:rFonts w:eastAsia="Calibri" w:cstheme="majorHAnsi"/>
          <w:color w:val="595959" w:themeColor="text1" w:themeTint="A6"/>
        </w:rPr>
        <w:t>286</w:t>
      </w:r>
      <w:r w:rsidR="00A01815" w:rsidRPr="00573885">
        <w:rPr>
          <w:rFonts w:eastAsia="Calibri" w:cstheme="majorHAnsi"/>
          <w:color w:val="595959" w:themeColor="text1" w:themeTint="A6"/>
        </w:rPr>
        <w:t xml:space="preserve"> </w:t>
      </w:r>
      <w:r w:rsidRPr="00573885">
        <w:rPr>
          <w:rFonts w:eastAsia="Calibri" w:cstheme="majorHAnsi"/>
          <w:color w:val="595959" w:themeColor="text1" w:themeTint="A6"/>
        </w:rPr>
        <w:t xml:space="preserve">εκατ. ευρώ σε σύγκριση με τον </w:t>
      </w:r>
      <w:r w:rsidR="00CA6C54">
        <w:rPr>
          <w:rFonts w:eastAsia="Calibri" w:cstheme="majorHAnsi"/>
          <w:color w:val="595959" w:themeColor="text1" w:themeTint="A6"/>
        </w:rPr>
        <w:t>Ιανουάριο</w:t>
      </w:r>
      <w:r w:rsidR="00233CD1" w:rsidRPr="00573885">
        <w:rPr>
          <w:rFonts w:eastAsia="Calibri" w:cstheme="majorHAnsi"/>
          <w:color w:val="595959" w:themeColor="text1" w:themeTint="A6"/>
        </w:rPr>
        <w:t xml:space="preserve"> </w:t>
      </w:r>
      <w:r w:rsidRPr="00573885">
        <w:rPr>
          <w:rFonts w:eastAsia="Calibri" w:cstheme="majorHAnsi"/>
          <w:color w:val="595959" w:themeColor="text1" w:themeTint="A6"/>
        </w:rPr>
        <w:t>του 20</w:t>
      </w:r>
      <w:r w:rsidR="0081203F" w:rsidRPr="00573885">
        <w:rPr>
          <w:rFonts w:eastAsia="Calibri" w:cstheme="majorHAnsi"/>
          <w:color w:val="595959" w:themeColor="text1" w:themeTint="A6"/>
        </w:rPr>
        <w:t>2</w:t>
      </w:r>
      <w:r w:rsidR="00CC2D83" w:rsidRPr="00CC2D83">
        <w:rPr>
          <w:rFonts w:eastAsia="Calibri" w:cstheme="majorHAnsi"/>
          <w:color w:val="595959" w:themeColor="text1" w:themeTint="A6"/>
        </w:rPr>
        <w:t>1</w:t>
      </w:r>
      <w:r w:rsidRPr="00573885">
        <w:rPr>
          <w:rFonts w:eastAsia="Calibri" w:cstheme="majorHAnsi"/>
          <w:color w:val="595959" w:themeColor="text1" w:themeTint="A6"/>
        </w:rPr>
        <w:t xml:space="preserve">. Ειδικότερα, οι ληξιπρόθεσμες οφειλές </w:t>
      </w:r>
      <w:r w:rsidR="001C2240" w:rsidRPr="00573885">
        <w:rPr>
          <w:rFonts w:eastAsia="Calibri" w:cstheme="majorHAnsi"/>
          <w:color w:val="595959" w:themeColor="text1" w:themeTint="A6"/>
        </w:rPr>
        <w:t>αυξήθ</w:t>
      </w:r>
      <w:r w:rsidR="0081203F" w:rsidRPr="00573885">
        <w:rPr>
          <w:rFonts w:eastAsia="Calibri" w:cstheme="majorHAnsi"/>
          <w:color w:val="595959" w:themeColor="text1" w:themeTint="A6"/>
        </w:rPr>
        <w:t>ηκα</w:t>
      </w:r>
      <w:r w:rsidRPr="00573885">
        <w:rPr>
          <w:rFonts w:eastAsia="Calibri" w:cstheme="majorHAnsi"/>
          <w:color w:val="595959" w:themeColor="text1" w:themeTint="A6"/>
        </w:rPr>
        <w:t xml:space="preserve">ν κατά </w:t>
      </w:r>
      <w:r w:rsidR="00CC2D83" w:rsidRPr="00CC2D83">
        <w:rPr>
          <w:rFonts w:eastAsia="Calibri" w:cstheme="majorHAnsi"/>
          <w:color w:val="595959" w:themeColor="text1" w:themeTint="A6"/>
        </w:rPr>
        <w:t xml:space="preserve">89 </w:t>
      </w:r>
      <w:r w:rsidRPr="00573885">
        <w:rPr>
          <w:rFonts w:eastAsia="Calibri" w:cstheme="majorHAnsi"/>
          <w:color w:val="595959" w:themeColor="text1" w:themeTint="A6"/>
        </w:rPr>
        <w:t>εκατ. ευρώ φτάνοντας τα</w:t>
      </w:r>
      <w:r w:rsidR="00461220" w:rsidRPr="00573885">
        <w:rPr>
          <w:rFonts w:eastAsia="Calibri" w:cstheme="majorHAnsi"/>
          <w:color w:val="595959" w:themeColor="text1" w:themeTint="A6"/>
        </w:rPr>
        <w:t xml:space="preserve"> </w:t>
      </w:r>
      <w:r w:rsidR="00CC2D83" w:rsidRPr="00CC2D83">
        <w:rPr>
          <w:rFonts w:eastAsia="Calibri" w:cstheme="majorHAnsi"/>
          <w:color w:val="595959" w:themeColor="text1" w:themeTint="A6"/>
        </w:rPr>
        <w:t>1.467</w:t>
      </w:r>
      <w:r w:rsidR="00A01815" w:rsidRPr="00573885">
        <w:rPr>
          <w:rFonts w:eastAsia="Calibri" w:cstheme="majorHAnsi"/>
          <w:color w:val="595959" w:themeColor="text1" w:themeTint="A6"/>
        </w:rPr>
        <w:t xml:space="preserve"> </w:t>
      </w:r>
      <w:r w:rsidRPr="00573885">
        <w:rPr>
          <w:rFonts w:eastAsia="Calibri" w:cstheme="majorHAnsi"/>
          <w:color w:val="595959" w:themeColor="text1" w:themeTint="A6"/>
        </w:rPr>
        <w:t xml:space="preserve">εκατ. ευρώ και οι εκκρεμείς επιστροφές φόρων </w:t>
      </w:r>
      <w:r w:rsidR="00CC2D83">
        <w:rPr>
          <w:rFonts w:eastAsia="Calibri" w:cstheme="majorHAnsi"/>
          <w:color w:val="595959" w:themeColor="text1" w:themeTint="A6"/>
        </w:rPr>
        <w:t>αυξή</w:t>
      </w:r>
      <w:r w:rsidR="0081203F" w:rsidRPr="00573885">
        <w:rPr>
          <w:rFonts w:eastAsia="Calibri" w:cstheme="majorHAnsi"/>
          <w:color w:val="595959" w:themeColor="text1" w:themeTint="A6"/>
        </w:rPr>
        <w:t>θηκαν</w:t>
      </w:r>
      <w:r w:rsidRPr="00573885">
        <w:rPr>
          <w:rFonts w:eastAsia="Calibri" w:cstheme="majorHAnsi"/>
          <w:color w:val="595959" w:themeColor="text1" w:themeTint="A6"/>
        </w:rPr>
        <w:t xml:space="preserve"> κατά</w:t>
      </w:r>
      <w:r w:rsidR="00461220" w:rsidRPr="00573885">
        <w:rPr>
          <w:rFonts w:eastAsia="Calibri" w:cstheme="majorHAnsi"/>
          <w:color w:val="595959" w:themeColor="text1" w:themeTint="A6"/>
        </w:rPr>
        <w:t xml:space="preserve"> </w:t>
      </w:r>
      <w:r w:rsidR="00CC2D83">
        <w:rPr>
          <w:rFonts w:eastAsia="Calibri" w:cstheme="majorHAnsi"/>
          <w:color w:val="595959" w:themeColor="text1" w:themeTint="A6"/>
        </w:rPr>
        <w:t>197</w:t>
      </w:r>
      <w:r w:rsidR="00A01815" w:rsidRPr="00573885">
        <w:rPr>
          <w:rFonts w:eastAsia="Calibri" w:cstheme="majorHAnsi"/>
          <w:color w:val="595959" w:themeColor="text1" w:themeTint="A6"/>
        </w:rPr>
        <w:t xml:space="preserve"> </w:t>
      </w:r>
      <w:r w:rsidRPr="00573885">
        <w:rPr>
          <w:rFonts w:eastAsia="Calibri" w:cstheme="majorHAnsi"/>
          <w:color w:val="595959" w:themeColor="text1" w:themeTint="A6"/>
        </w:rPr>
        <w:t>εκατ. ευρώ φτάνοντας τα</w:t>
      </w:r>
      <w:r w:rsidR="00461220" w:rsidRPr="00573885">
        <w:rPr>
          <w:rFonts w:eastAsia="Calibri" w:cstheme="majorHAnsi"/>
          <w:color w:val="595959" w:themeColor="text1" w:themeTint="A6"/>
        </w:rPr>
        <w:t xml:space="preserve"> </w:t>
      </w:r>
      <w:r w:rsidR="00CC2D83">
        <w:rPr>
          <w:rFonts w:eastAsia="Calibri" w:cstheme="majorHAnsi"/>
          <w:color w:val="595959" w:themeColor="text1" w:themeTint="A6"/>
        </w:rPr>
        <w:t>774</w:t>
      </w:r>
      <w:r w:rsidRPr="00573885">
        <w:rPr>
          <w:rFonts w:eastAsia="Calibri" w:cstheme="majorHAnsi"/>
          <w:color w:val="595959" w:themeColor="text1" w:themeTint="A6"/>
        </w:rPr>
        <w:t xml:space="preserve"> εκατ. ευρώ.</w:t>
      </w:r>
      <w:r w:rsidR="00991762" w:rsidRPr="00C0768F">
        <w:rPr>
          <w:rFonts w:eastAsia="Calibri" w:cstheme="majorHAnsi"/>
          <w:color w:val="595959" w:themeColor="text1" w:themeTint="A6"/>
        </w:rPr>
        <w:t xml:space="preserve"> </w:t>
      </w:r>
      <w:bookmarkStart w:id="97" w:name="_Toc33093582"/>
      <w:bookmarkStart w:id="98" w:name="_Toc16003952"/>
      <w:bookmarkStart w:id="99" w:name="_Toc1387145"/>
      <w:bookmarkStart w:id="100" w:name="_Toc9685040"/>
      <w:bookmarkStart w:id="101" w:name="_Toc519523474"/>
      <w:bookmarkStart w:id="102" w:name="_Toc521435850"/>
      <w:bookmarkStart w:id="103" w:name="_Toc529792803"/>
      <w:bookmarkStart w:id="104" w:name="_Toc9685042"/>
      <w:bookmarkStart w:id="105" w:name="_Toc23936598"/>
      <w:bookmarkStart w:id="106" w:name="_Toc33093584"/>
      <w:bookmarkStart w:id="107" w:name="_Toc8222130"/>
      <w:bookmarkStart w:id="108" w:name="_Toc50131957"/>
      <w:bookmarkStart w:id="109" w:name="_Toc40706001"/>
      <w:bookmarkStart w:id="110" w:name="_Toc9685044"/>
      <w:bookmarkStart w:id="111" w:name="_Toc513407049"/>
    </w:p>
    <w:p w14:paraId="677E4CA9" w14:textId="77777777" w:rsidR="00A229A6" w:rsidRPr="00A229A6" w:rsidRDefault="00A229A6" w:rsidP="00F91410">
      <w:pPr>
        <w:spacing w:after="0" w:line="276" w:lineRule="auto"/>
        <w:jc w:val="both"/>
        <w:rPr>
          <w:rFonts w:eastAsia="Calibri" w:cstheme="majorHAnsi"/>
          <w:color w:val="595959" w:themeColor="text1" w:themeTint="A6"/>
        </w:rPr>
      </w:pPr>
    </w:p>
    <w:p w14:paraId="734FE375" w14:textId="77777777" w:rsidR="005D3C5F" w:rsidRPr="001853D9" w:rsidRDefault="005D3C5F" w:rsidP="005D3C5F">
      <w:pPr>
        <w:pStyle w:val="Heading3"/>
        <w:spacing w:before="0"/>
        <w:rPr>
          <w:rFonts w:cstheme="majorHAnsi"/>
        </w:rPr>
      </w:pPr>
      <w:bookmarkStart w:id="112" w:name="_Toc82689374"/>
      <w:bookmarkStart w:id="113" w:name="_Toc82713972"/>
      <w:bookmarkStart w:id="114" w:name="_Toc82714706"/>
      <w:bookmarkStart w:id="115" w:name="_Toc82752951"/>
      <w:bookmarkStart w:id="116" w:name="_Toc82784606"/>
      <w:bookmarkStart w:id="117" w:name="_Toc98160532"/>
      <w:bookmarkStart w:id="118" w:name="_Toc82689376"/>
      <w:bookmarkStart w:id="119" w:name="_Toc82713974"/>
      <w:bookmarkStart w:id="120" w:name="_Toc82714708"/>
      <w:bookmarkStart w:id="121" w:name="_Toc50131959"/>
      <w:bookmarkStart w:id="122" w:name="_Toc67307439"/>
      <w:bookmarkEnd w:id="97"/>
      <w:bookmarkEnd w:id="98"/>
      <w:bookmarkEnd w:id="99"/>
      <w:bookmarkEnd w:id="100"/>
      <w:bookmarkEnd w:id="101"/>
      <w:bookmarkEnd w:id="102"/>
      <w:bookmarkEnd w:id="103"/>
      <w:bookmarkEnd w:id="104"/>
      <w:bookmarkEnd w:id="105"/>
      <w:bookmarkEnd w:id="106"/>
      <w:bookmarkEnd w:id="107"/>
      <w:bookmarkEnd w:id="108"/>
      <w:bookmarkEnd w:id="109"/>
      <w:r w:rsidRPr="001853D9">
        <w:rPr>
          <w:rFonts w:cstheme="majorHAnsi"/>
        </w:rPr>
        <w:t>Ληξιπρόθεσμες υποχρεώσεις φορολογούμενων</w:t>
      </w:r>
      <w:bookmarkEnd w:id="112"/>
      <w:bookmarkEnd w:id="113"/>
      <w:bookmarkEnd w:id="114"/>
      <w:bookmarkEnd w:id="115"/>
      <w:bookmarkEnd w:id="116"/>
      <w:bookmarkEnd w:id="117"/>
    </w:p>
    <w:p w14:paraId="5AD5E734" w14:textId="77777777" w:rsidR="005D3C5F" w:rsidRPr="001853D9" w:rsidRDefault="005D3C5F" w:rsidP="005D3C5F">
      <w:pPr>
        <w:spacing w:after="0" w:line="276" w:lineRule="auto"/>
        <w:jc w:val="both"/>
        <w:rPr>
          <w:rFonts w:asciiTheme="majorHAnsi" w:hAnsiTheme="majorHAnsi" w:cstheme="majorHAnsi"/>
        </w:rPr>
      </w:pPr>
    </w:p>
    <w:p w14:paraId="5B139EB7" w14:textId="77777777" w:rsidR="005D3C5F" w:rsidRDefault="005D3C5F" w:rsidP="005D3C5F">
      <w:pPr>
        <w:spacing w:after="0"/>
        <w:jc w:val="both"/>
        <w:rPr>
          <w:rFonts w:asciiTheme="majorHAnsi" w:hAnsiTheme="majorHAnsi" w:cstheme="majorHAnsi"/>
          <w:color w:val="595959"/>
        </w:rPr>
      </w:pPr>
      <w:r w:rsidRPr="001853D9">
        <w:rPr>
          <w:rFonts w:asciiTheme="majorHAnsi" w:eastAsia="Calibri" w:hAnsiTheme="majorHAnsi" w:cstheme="majorHAnsi"/>
          <w:color w:val="595959"/>
        </w:rPr>
        <w:lastRenderedPageBreak/>
        <w:t xml:space="preserve">Σύμφωνα με τα στοιχεία της </w:t>
      </w:r>
      <w:hyperlink r:id="rId55" w:history="1">
        <w:r w:rsidRPr="001853D9">
          <w:rPr>
            <w:rFonts w:asciiTheme="majorHAnsi" w:hAnsiTheme="majorHAnsi" w:cstheme="majorHAnsi"/>
            <w:color w:val="595959"/>
            <w:u w:val="single"/>
          </w:rPr>
          <w:t>ΑΑΔΕ</w:t>
        </w:r>
      </w:hyperlink>
      <w:r w:rsidRPr="001853D9">
        <w:rPr>
          <w:rFonts w:asciiTheme="majorHAnsi" w:eastAsia="Calibri" w:hAnsiTheme="majorHAnsi" w:cstheme="majorHAnsi"/>
          <w:color w:val="595959"/>
        </w:rPr>
        <w:t>, το συνολικό ληξιπρόθεσμο υπόλοιπο</w:t>
      </w:r>
      <w:r w:rsidRPr="001853D9">
        <w:rPr>
          <w:rFonts w:asciiTheme="majorHAnsi" w:eastAsia="Calibri" w:hAnsiTheme="majorHAnsi" w:cstheme="majorHAnsi"/>
          <w:color w:val="595959"/>
          <w:vertAlign w:val="superscript"/>
        </w:rPr>
        <w:footnoteReference w:id="3"/>
      </w:r>
      <w:r w:rsidRPr="001853D9">
        <w:rPr>
          <w:rFonts w:asciiTheme="majorHAnsi" w:eastAsia="Calibri" w:hAnsiTheme="majorHAnsi" w:cstheme="majorHAnsi"/>
          <w:color w:val="595959"/>
        </w:rPr>
        <w:t xml:space="preserve"> στο τέλος του </w:t>
      </w:r>
      <w:r>
        <w:rPr>
          <w:rFonts w:asciiTheme="majorHAnsi" w:eastAsia="Calibri" w:hAnsiTheme="majorHAnsi" w:cstheme="majorHAnsi"/>
          <w:color w:val="595959"/>
        </w:rPr>
        <w:t>Ιανουαρίου</w:t>
      </w:r>
      <w:r w:rsidRPr="001853D9">
        <w:rPr>
          <w:rFonts w:asciiTheme="majorHAnsi" w:eastAsia="Calibri" w:hAnsiTheme="majorHAnsi" w:cstheme="majorHAnsi"/>
          <w:color w:val="595959"/>
        </w:rPr>
        <w:t xml:space="preserve"> του 202</w:t>
      </w:r>
      <w:r>
        <w:rPr>
          <w:rFonts w:asciiTheme="majorHAnsi" w:eastAsia="Calibri" w:hAnsiTheme="majorHAnsi" w:cstheme="majorHAnsi"/>
          <w:color w:val="595959"/>
        </w:rPr>
        <w:t>2</w:t>
      </w:r>
      <w:r w:rsidRPr="001853D9">
        <w:rPr>
          <w:rFonts w:asciiTheme="majorHAnsi" w:eastAsia="Calibri" w:hAnsiTheme="majorHAnsi" w:cstheme="majorHAnsi"/>
          <w:color w:val="595959"/>
        </w:rPr>
        <w:t xml:space="preserve">, διαμορφώθηκε στα </w:t>
      </w:r>
      <w:r w:rsidRPr="009274C2">
        <w:rPr>
          <w:rFonts w:asciiTheme="majorHAnsi" w:eastAsia="Calibri" w:hAnsiTheme="majorHAnsi" w:cstheme="majorHAnsi"/>
          <w:color w:val="595959"/>
        </w:rPr>
        <w:t>1</w:t>
      </w:r>
      <w:r>
        <w:rPr>
          <w:rFonts w:asciiTheme="majorHAnsi" w:eastAsia="Calibri" w:hAnsiTheme="majorHAnsi" w:cstheme="majorHAnsi"/>
          <w:color w:val="595959"/>
        </w:rPr>
        <w:t>13</w:t>
      </w:r>
      <w:r w:rsidRPr="009274C2">
        <w:rPr>
          <w:rFonts w:asciiTheme="majorHAnsi" w:eastAsia="Calibri" w:hAnsiTheme="majorHAnsi" w:cstheme="majorHAnsi"/>
          <w:color w:val="595959"/>
        </w:rPr>
        <w:t xml:space="preserve"> δις ευρώ, </w:t>
      </w:r>
      <w:r w:rsidRPr="00E26BF2">
        <w:rPr>
          <w:rFonts w:asciiTheme="majorHAnsi" w:eastAsia="Calibri" w:hAnsiTheme="majorHAnsi" w:cstheme="majorHAnsi"/>
          <w:color w:val="595959"/>
        </w:rPr>
        <w:t xml:space="preserve">αυξημένο κατά </w:t>
      </w:r>
      <w:r>
        <w:rPr>
          <w:rFonts w:asciiTheme="majorHAnsi" w:eastAsia="Calibri" w:hAnsiTheme="majorHAnsi" w:cstheme="majorHAnsi"/>
          <w:color w:val="595959"/>
        </w:rPr>
        <w:t>4</w:t>
      </w:r>
      <w:r w:rsidRPr="00E26BF2">
        <w:rPr>
          <w:rFonts w:asciiTheme="majorHAnsi" w:eastAsia="Calibri" w:hAnsiTheme="majorHAnsi" w:cstheme="majorHAnsi"/>
          <w:color w:val="595959"/>
        </w:rPr>
        <w:t>,</w:t>
      </w:r>
      <w:r>
        <w:rPr>
          <w:rFonts w:asciiTheme="majorHAnsi" w:eastAsia="Calibri" w:hAnsiTheme="majorHAnsi" w:cstheme="majorHAnsi"/>
          <w:color w:val="595959"/>
        </w:rPr>
        <w:t>1</w:t>
      </w:r>
      <w:r w:rsidRPr="00E26BF2">
        <w:rPr>
          <w:rFonts w:asciiTheme="majorHAnsi" w:eastAsia="Calibri" w:hAnsiTheme="majorHAnsi" w:cstheme="majorHAnsi"/>
          <w:color w:val="595959"/>
        </w:rPr>
        <w:t xml:space="preserve"> δις ευρώ</w:t>
      </w:r>
      <w:r w:rsidRPr="001853D9">
        <w:rPr>
          <w:rFonts w:asciiTheme="majorHAnsi" w:eastAsia="Calibri" w:hAnsiTheme="majorHAnsi" w:cstheme="majorHAnsi"/>
          <w:color w:val="595959"/>
        </w:rPr>
        <w:t xml:space="preserve"> σε σχέση με τον </w:t>
      </w:r>
      <w:r>
        <w:rPr>
          <w:rFonts w:asciiTheme="majorHAnsi" w:eastAsia="Calibri" w:hAnsiTheme="majorHAnsi" w:cstheme="majorHAnsi"/>
          <w:color w:val="595959"/>
        </w:rPr>
        <w:t>Ιανουάριο</w:t>
      </w:r>
      <w:r w:rsidRPr="001853D9">
        <w:rPr>
          <w:rFonts w:asciiTheme="majorHAnsi" w:eastAsia="Calibri" w:hAnsiTheme="majorHAnsi" w:cstheme="majorHAnsi"/>
          <w:color w:val="595959"/>
        </w:rPr>
        <w:t xml:space="preserve"> του 202</w:t>
      </w:r>
      <w:r>
        <w:rPr>
          <w:rFonts w:asciiTheme="majorHAnsi" w:eastAsia="Calibri" w:hAnsiTheme="majorHAnsi" w:cstheme="majorHAnsi"/>
          <w:color w:val="595959"/>
        </w:rPr>
        <w:t>1</w:t>
      </w:r>
      <w:r w:rsidRPr="001853D9">
        <w:rPr>
          <w:rFonts w:asciiTheme="majorHAnsi" w:eastAsia="Calibri" w:hAnsiTheme="majorHAnsi" w:cstheme="majorHAnsi"/>
          <w:color w:val="595959"/>
        </w:rPr>
        <w:t xml:space="preserve">. </w:t>
      </w:r>
      <w:r w:rsidRPr="00871131">
        <w:rPr>
          <w:rFonts w:asciiTheme="majorHAnsi" w:eastAsia="Calibri" w:hAnsiTheme="majorHAnsi" w:cstheme="majorHAnsi"/>
          <w:color w:val="595959"/>
        </w:rPr>
        <w:t xml:space="preserve">Η αύξηση αυτή υπολογίζεται από (α) </w:t>
      </w:r>
      <w:r w:rsidRPr="00871131">
        <w:rPr>
          <w:rFonts w:asciiTheme="majorHAnsi" w:hAnsiTheme="majorHAnsi" w:cstheme="majorHAnsi"/>
          <w:color w:val="595959"/>
        </w:rPr>
        <w:t>τις νέες ληξιπρόθεσμες οφειλές ύψους 7,3 δις ευρώ συν</w:t>
      </w:r>
      <w:r w:rsidRPr="00871131">
        <w:rPr>
          <w:rFonts w:asciiTheme="majorHAnsi" w:eastAsia="Calibri" w:hAnsiTheme="majorHAnsi" w:cstheme="majorHAnsi"/>
          <w:color w:val="595959"/>
        </w:rPr>
        <w:t xml:space="preserve"> </w:t>
      </w:r>
      <w:r w:rsidRPr="00871131">
        <w:rPr>
          <w:rFonts w:asciiTheme="majorHAnsi" w:hAnsiTheme="majorHAnsi" w:cstheme="majorHAnsi"/>
          <w:color w:val="595959"/>
        </w:rPr>
        <w:t>(</w:t>
      </w:r>
      <w:r>
        <w:rPr>
          <w:rFonts w:asciiTheme="majorHAnsi" w:hAnsiTheme="majorHAnsi" w:cstheme="majorHAnsi"/>
          <w:color w:val="595959"/>
        </w:rPr>
        <w:t>β</w:t>
      </w:r>
      <w:r w:rsidRPr="00871131">
        <w:rPr>
          <w:rFonts w:asciiTheme="majorHAnsi" w:hAnsiTheme="majorHAnsi" w:cstheme="majorHAnsi"/>
          <w:color w:val="595959"/>
        </w:rPr>
        <w:t>)</w:t>
      </w:r>
      <w:r w:rsidRPr="00871131">
        <w:rPr>
          <w:rFonts w:asciiTheme="majorHAnsi" w:eastAsia="Calibri" w:hAnsiTheme="majorHAnsi" w:cstheme="majorHAnsi"/>
          <w:color w:val="595959"/>
        </w:rPr>
        <w:t xml:space="preserve"> τις ληξιπρόθεσμες οφειλές κατά την 1/2/2021</w:t>
      </w:r>
      <w:r w:rsidRPr="00871131">
        <w:rPr>
          <w:rFonts w:asciiTheme="majorHAnsi" w:hAnsiTheme="majorHAnsi" w:cstheme="majorHAnsi"/>
          <w:color w:val="595959"/>
        </w:rPr>
        <w:t xml:space="preserve"> που βεβαιώθηκαν μεταγενέστερα ύψους 2,1 δις ευρώ</w:t>
      </w:r>
      <w:r>
        <w:rPr>
          <w:rFonts w:asciiTheme="majorHAnsi" w:hAnsiTheme="majorHAnsi" w:cstheme="majorHAnsi"/>
          <w:color w:val="595959"/>
        </w:rPr>
        <w:t>,</w:t>
      </w:r>
      <w:r w:rsidRPr="00871131">
        <w:rPr>
          <w:rFonts w:asciiTheme="majorHAnsi" w:hAnsiTheme="majorHAnsi" w:cstheme="majorHAnsi"/>
          <w:color w:val="595959"/>
        </w:rPr>
        <w:t xml:space="preserve"> </w:t>
      </w:r>
      <w:r>
        <w:rPr>
          <w:rFonts w:asciiTheme="majorHAnsi" w:hAnsiTheme="majorHAnsi" w:cstheme="majorHAnsi"/>
          <w:color w:val="595959"/>
        </w:rPr>
        <w:t>μείον (γ</w:t>
      </w:r>
      <w:r w:rsidRPr="00871131">
        <w:rPr>
          <w:rFonts w:asciiTheme="majorHAnsi" w:hAnsiTheme="majorHAnsi" w:cstheme="majorHAnsi"/>
          <w:color w:val="595959"/>
        </w:rPr>
        <w:t xml:space="preserve">) τις εισπράξεις </w:t>
      </w:r>
      <w:r w:rsidRPr="00871131">
        <w:rPr>
          <w:rFonts w:asciiTheme="majorHAnsi" w:eastAsia="Calibri" w:hAnsiTheme="majorHAnsi" w:cstheme="majorHAnsi"/>
          <w:color w:val="595959"/>
        </w:rPr>
        <w:t>και διαγραφές 5,3 δις ευρώ</w:t>
      </w:r>
      <w:r w:rsidRPr="00871131">
        <w:rPr>
          <w:rFonts w:asciiTheme="majorHAnsi" w:hAnsiTheme="majorHAnsi" w:cstheme="majorHAnsi"/>
          <w:color w:val="595959"/>
        </w:rPr>
        <w:t>.</w:t>
      </w:r>
    </w:p>
    <w:p w14:paraId="1ABCB0BE" w14:textId="77777777" w:rsidR="005D3C5F" w:rsidRPr="00F12C21" w:rsidRDefault="005D3C5F" w:rsidP="005D3C5F">
      <w:pPr>
        <w:spacing w:after="0"/>
        <w:jc w:val="both"/>
        <w:rPr>
          <w:rFonts w:asciiTheme="majorHAnsi" w:eastAsia="Calibri" w:hAnsiTheme="majorHAnsi" w:cstheme="majorHAnsi"/>
          <w:color w:val="595959"/>
        </w:rPr>
      </w:pPr>
    </w:p>
    <w:p w14:paraId="53D52FD4" w14:textId="77777777" w:rsidR="00311481" w:rsidRDefault="00311481" w:rsidP="005945F6">
      <w:pPr>
        <w:pStyle w:val="Caption"/>
        <w:keepNext/>
        <w:jc w:val="center"/>
      </w:pPr>
      <w:bookmarkStart w:id="123" w:name="_Toc98189619"/>
      <w:bookmarkStart w:id="124" w:name="_Toc82751805"/>
      <w:bookmarkStart w:id="125" w:name="_Toc82784634"/>
      <w:r>
        <w:t xml:space="preserve">Διάγραμμα </w:t>
      </w:r>
      <w:r w:rsidR="0059099F">
        <w:fldChar w:fldCharType="begin"/>
      </w:r>
      <w:r w:rsidR="0059099F">
        <w:instrText xml:space="preserve"> SEQ Διάγραμμα \* ARABIC </w:instrText>
      </w:r>
      <w:r w:rsidR="0059099F">
        <w:fldChar w:fldCharType="separate"/>
      </w:r>
      <w:r>
        <w:rPr>
          <w:noProof/>
        </w:rPr>
        <w:t>6</w:t>
      </w:r>
      <w:r w:rsidR="0059099F">
        <w:rPr>
          <w:noProof/>
        </w:rPr>
        <w:fldChar w:fldCharType="end"/>
      </w:r>
      <w:r w:rsidRPr="00311481">
        <w:rPr>
          <w:rFonts w:asciiTheme="majorHAnsi" w:hAnsiTheme="majorHAnsi" w:cstheme="majorHAnsi"/>
        </w:rPr>
        <w:t xml:space="preserve"> </w:t>
      </w:r>
      <w:r w:rsidRPr="005945F6">
        <w:t>Ληξιπρόθεσμες υποχρεώσεις φορολογούμενων, σε εκατ. ευρώ</w:t>
      </w:r>
      <w:bookmarkEnd w:id="123"/>
    </w:p>
    <w:p w14:paraId="3498CACF" w14:textId="77777777" w:rsidR="005D3C5F" w:rsidRDefault="005D3C5F" w:rsidP="005D3C5F">
      <w:pPr>
        <w:jc w:val="center"/>
        <w:rPr>
          <w:highlight w:val="yellow"/>
        </w:rPr>
      </w:pPr>
      <w:r w:rsidRPr="00DB2771">
        <w:rPr>
          <w:noProof/>
          <w:lang w:val="en-US"/>
        </w:rPr>
        <w:drawing>
          <wp:inline distT="0" distB="0" distL="0" distR="0" wp14:anchorId="419B0B36" wp14:editId="7409F7CC">
            <wp:extent cx="3861177" cy="2278380"/>
            <wp:effectExtent l="0" t="0" r="0" b="0"/>
            <wp:docPr id="4" name="Εικόνα 4" descr="C:\Users\e.tamviskou\Downloads\tax-arrears-2021q4-jan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amviskou\Downloads\tax-arrears-2021q4-jan2022.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79481" cy="2289181"/>
                    </a:xfrm>
                    <a:prstGeom prst="rect">
                      <a:avLst/>
                    </a:prstGeom>
                    <a:noFill/>
                    <a:ln>
                      <a:noFill/>
                    </a:ln>
                  </pic:spPr>
                </pic:pic>
              </a:graphicData>
            </a:graphic>
          </wp:inline>
        </w:drawing>
      </w:r>
    </w:p>
    <w:p w14:paraId="64A9252A" w14:textId="77777777" w:rsidR="002B4068" w:rsidRPr="007F3623" w:rsidRDefault="002B4068" w:rsidP="005D3C5F">
      <w:pPr>
        <w:jc w:val="center"/>
        <w:rPr>
          <w:highlight w:val="yellow"/>
        </w:rPr>
      </w:pPr>
    </w:p>
    <w:p w14:paraId="48039E6A" w14:textId="77777777" w:rsidR="00311481" w:rsidRDefault="00311481" w:rsidP="005945F6">
      <w:pPr>
        <w:pStyle w:val="Caption"/>
        <w:keepNext/>
        <w:jc w:val="center"/>
      </w:pPr>
      <w:bookmarkStart w:id="126" w:name="_Toc98189620"/>
      <w:bookmarkEnd w:id="124"/>
      <w:bookmarkEnd w:id="125"/>
      <w:r>
        <w:t xml:space="preserve">Διάγραμμα </w:t>
      </w:r>
      <w:r w:rsidR="0059099F">
        <w:fldChar w:fldCharType="begin"/>
      </w:r>
      <w:r w:rsidR="0059099F">
        <w:instrText xml:space="preserve"> SEQ Διάγραμμα \* ARABIC </w:instrText>
      </w:r>
      <w:r w:rsidR="0059099F">
        <w:fldChar w:fldCharType="separate"/>
      </w:r>
      <w:r>
        <w:rPr>
          <w:noProof/>
        </w:rPr>
        <w:t>7</w:t>
      </w:r>
      <w:r w:rsidR="0059099F">
        <w:rPr>
          <w:noProof/>
        </w:rPr>
        <w:fldChar w:fldCharType="end"/>
      </w:r>
      <w:r w:rsidRPr="00311481">
        <w:rPr>
          <w:rFonts w:asciiTheme="majorHAnsi" w:hAnsiTheme="majorHAnsi" w:cstheme="majorHAnsi"/>
        </w:rPr>
        <w:t xml:space="preserve"> </w:t>
      </w:r>
      <w:r w:rsidRPr="005945F6">
        <w:t>Εισροές και εκροές ληξιπρόθεσμου υπολοίπου, σε εκατ. ευρώ</w:t>
      </w:r>
      <w:bookmarkEnd w:id="126"/>
    </w:p>
    <w:p w14:paraId="4DE12066" w14:textId="77777777" w:rsidR="005D3C5F" w:rsidRDefault="005D3C5F" w:rsidP="005D3C5F">
      <w:pPr>
        <w:spacing w:line="276" w:lineRule="auto"/>
        <w:jc w:val="center"/>
        <w:rPr>
          <w:rFonts w:asciiTheme="majorHAnsi" w:eastAsia="Calibri" w:hAnsiTheme="majorHAnsi" w:cstheme="majorHAnsi"/>
          <w:color w:val="595959"/>
        </w:rPr>
      </w:pPr>
      <w:r w:rsidRPr="003B7253">
        <w:rPr>
          <w:rFonts w:asciiTheme="majorHAnsi" w:eastAsia="Calibri" w:hAnsiTheme="majorHAnsi" w:cstheme="majorHAnsi"/>
          <w:noProof/>
          <w:color w:val="595959"/>
          <w:lang w:val="en-US"/>
        </w:rPr>
        <w:drawing>
          <wp:inline distT="0" distB="0" distL="0" distR="0" wp14:anchorId="3D743D81" wp14:editId="2F684306">
            <wp:extent cx="3882512" cy="2682240"/>
            <wp:effectExtent l="0" t="0" r="0" b="0"/>
            <wp:docPr id="21" name="Εικόνα 21" descr="C:\Users\e.tamviskou\Downloads\tax-arrears-2021q4-jan202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amviskou\Downloads\tax-arrears-2021q4-jan2022 (3).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95535" cy="2691237"/>
                    </a:xfrm>
                    <a:prstGeom prst="rect">
                      <a:avLst/>
                    </a:prstGeom>
                    <a:noFill/>
                    <a:ln>
                      <a:noFill/>
                    </a:ln>
                  </pic:spPr>
                </pic:pic>
              </a:graphicData>
            </a:graphic>
          </wp:inline>
        </w:drawing>
      </w:r>
    </w:p>
    <w:p w14:paraId="50A4C55E" w14:textId="77777777" w:rsidR="005D3C5F" w:rsidRPr="001853D9" w:rsidRDefault="005D3C5F" w:rsidP="005D3C5F">
      <w:pPr>
        <w:spacing w:line="276" w:lineRule="auto"/>
        <w:jc w:val="both"/>
        <w:rPr>
          <w:rFonts w:asciiTheme="majorHAnsi" w:hAnsiTheme="majorHAnsi" w:cstheme="majorHAnsi"/>
          <w:color w:val="595959"/>
        </w:rPr>
      </w:pPr>
      <w:r w:rsidRPr="001853D9">
        <w:rPr>
          <w:rFonts w:asciiTheme="majorHAnsi" w:eastAsia="Calibri" w:hAnsiTheme="majorHAnsi" w:cstheme="majorHAnsi"/>
          <w:color w:val="595959"/>
        </w:rPr>
        <w:t>Παράλληλα κατά το</w:t>
      </w:r>
      <w:r>
        <w:rPr>
          <w:rFonts w:asciiTheme="majorHAnsi" w:eastAsia="Calibri" w:hAnsiTheme="majorHAnsi" w:cstheme="majorHAnsi"/>
          <w:color w:val="595959"/>
        </w:rPr>
        <w:t>ν</w:t>
      </w:r>
      <w:r w:rsidRPr="001853D9">
        <w:rPr>
          <w:rFonts w:asciiTheme="majorHAnsi" w:eastAsia="Calibri" w:hAnsiTheme="majorHAnsi" w:cstheme="majorHAnsi"/>
          <w:color w:val="595959"/>
        </w:rPr>
        <w:t xml:space="preserve"> πρώτο </w:t>
      </w:r>
      <w:r>
        <w:rPr>
          <w:rFonts w:asciiTheme="majorHAnsi" w:eastAsia="Calibri" w:hAnsiTheme="majorHAnsi" w:cstheme="majorHAnsi"/>
          <w:color w:val="595959"/>
        </w:rPr>
        <w:t>μήνα</w:t>
      </w:r>
      <w:r w:rsidRPr="001853D9">
        <w:rPr>
          <w:rFonts w:asciiTheme="majorHAnsi" w:eastAsia="Calibri" w:hAnsiTheme="majorHAnsi" w:cstheme="majorHAnsi"/>
          <w:color w:val="595959"/>
        </w:rPr>
        <w:t xml:space="preserve"> του 202</w:t>
      </w:r>
      <w:r>
        <w:rPr>
          <w:rFonts w:asciiTheme="majorHAnsi" w:eastAsia="Calibri" w:hAnsiTheme="majorHAnsi" w:cstheme="majorHAnsi"/>
          <w:color w:val="595959"/>
        </w:rPr>
        <w:t>2</w:t>
      </w:r>
      <w:r w:rsidRPr="001853D9">
        <w:rPr>
          <w:rFonts w:asciiTheme="majorHAnsi" w:eastAsia="Calibri" w:hAnsiTheme="majorHAnsi" w:cstheme="majorHAnsi"/>
          <w:color w:val="595959"/>
        </w:rPr>
        <w:t xml:space="preserve"> το σύνολο των ληξιπρόθεσμων οφειλών αυξήθηκε κατά </w:t>
      </w:r>
      <w:r>
        <w:rPr>
          <w:rFonts w:asciiTheme="majorHAnsi" w:eastAsia="Calibri" w:hAnsiTheme="majorHAnsi" w:cstheme="majorHAnsi"/>
          <w:color w:val="595959"/>
        </w:rPr>
        <w:t>1,5</w:t>
      </w:r>
      <w:r w:rsidRPr="001853D9">
        <w:rPr>
          <w:rFonts w:asciiTheme="majorHAnsi" w:eastAsia="Calibri" w:hAnsiTheme="majorHAnsi" w:cstheme="majorHAnsi"/>
          <w:color w:val="595959"/>
        </w:rPr>
        <w:t xml:space="preserve"> </w:t>
      </w:r>
      <w:r>
        <w:rPr>
          <w:rFonts w:asciiTheme="majorHAnsi" w:eastAsia="Calibri" w:hAnsiTheme="majorHAnsi" w:cstheme="majorHAnsi"/>
          <w:color w:val="595959"/>
        </w:rPr>
        <w:t>δις</w:t>
      </w:r>
      <w:r w:rsidRPr="001853D9">
        <w:rPr>
          <w:rFonts w:asciiTheme="majorHAnsi" w:eastAsia="Calibri" w:hAnsiTheme="majorHAnsi" w:cstheme="majorHAnsi"/>
          <w:color w:val="595959"/>
        </w:rPr>
        <w:t xml:space="preserve"> ευρώ, </w:t>
      </w:r>
      <w:r w:rsidRPr="000049E4">
        <w:rPr>
          <w:rFonts w:asciiTheme="majorHAnsi" w:eastAsia="Calibri" w:hAnsiTheme="majorHAnsi" w:cstheme="majorHAnsi"/>
          <w:color w:val="595959"/>
        </w:rPr>
        <w:t>καθώς οι εκροές από το συνολικό ληξιπρόθεσμο υπόλοιπο, δηλαδή οι εισπράξεις και οι διαγραφές (3</w:t>
      </w:r>
      <w:r w:rsidR="00826E40">
        <w:rPr>
          <w:rFonts w:asciiTheme="majorHAnsi" w:eastAsia="Calibri" w:hAnsiTheme="majorHAnsi" w:cstheme="majorHAnsi"/>
          <w:color w:val="595959"/>
        </w:rPr>
        <w:t>96</w:t>
      </w:r>
      <w:r w:rsidRPr="000049E4">
        <w:rPr>
          <w:rFonts w:asciiTheme="majorHAnsi" w:eastAsia="Calibri" w:hAnsiTheme="majorHAnsi" w:cstheme="majorHAnsi"/>
          <w:color w:val="595959"/>
        </w:rPr>
        <w:t>,</w:t>
      </w:r>
      <w:r w:rsidR="00826E40">
        <w:rPr>
          <w:rFonts w:asciiTheme="majorHAnsi" w:eastAsia="Calibri" w:hAnsiTheme="majorHAnsi" w:cstheme="majorHAnsi"/>
          <w:color w:val="595959"/>
        </w:rPr>
        <w:t>3</w:t>
      </w:r>
      <w:r w:rsidRPr="000049E4">
        <w:rPr>
          <w:rFonts w:asciiTheme="majorHAnsi" w:eastAsia="Calibri" w:hAnsiTheme="majorHAnsi" w:cstheme="majorHAnsi"/>
          <w:color w:val="595959"/>
        </w:rPr>
        <w:t xml:space="preserve"> εκατ. ευρώ) ήταν λιγότερες από τις εισροές, οι </w:t>
      </w:r>
      <w:r w:rsidRPr="000049E4">
        <w:rPr>
          <w:rFonts w:asciiTheme="majorHAnsi" w:eastAsia="Calibri" w:hAnsiTheme="majorHAnsi" w:cstheme="majorHAnsi"/>
          <w:color w:val="595959"/>
        </w:rPr>
        <w:lastRenderedPageBreak/>
        <w:t xml:space="preserve">οποίες περιλαμβάνουν τα νέα ληξιπρόθεσμα ύψους 1,7 δις ευρώ και τις ληξιπρόθεσμες </w:t>
      </w:r>
      <w:r w:rsidRPr="000049E4">
        <w:rPr>
          <w:rFonts w:asciiTheme="majorHAnsi" w:hAnsiTheme="majorHAnsi" w:cstheme="majorHAnsi"/>
          <w:color w:val="595959"/>
        </w:rPr>
        <w:t>οφειλές στο τέλος του 2021 που βεβαιώθηκαν μεταγενέστερα (218,6 εκατ. ευρώ)</w:t>
      </w:r>
      <w:r>
        <w:rPr>
          <w:rStyle w:val="FootnoteReference"/>
          <w:rFonts w:asciiTheme="majorHAnsi" w:hAnsiTheme="majorHAnsi" w:cstheme="majorHAnsi"/>
          <w:color w:val="595959"/>
        </w:rPr>
        <w:footnoteReference w:id="4"/>
      </w:r>
      <w:r w:rsidRPr="000049E4">
        <w:rPr>
          <w:rFonts w:asciiTheme="majorHAnsi" w:hAnsiTheme="majorHAnsi" w:cstheme="majorHAnsi"/>
          <w:color w:val="595959"/>
        </w:rPr>
        <w:t>.</w:t>
      </w:r>
    </w:p>
    <w:p w14:paraId="5C347898" w14:textId="77777777" w:rsidR="002B4068" w:rsidRDefault="005D3C5F" w:rsidP="005D3C5F">
      <w:pPr>
        <w:spacing w:after="0" w:line="276" w:lineRule="auto"/>
        <w:jc w:val="both"/>
        <w:rPr>
          <w:rFonts w:asciiTheme="majorHAnsi" w:eastAsia="Calibri" w:hAnsiTheme="majorHAnsi" w:cstheme="majorHAnsi"/>
          <w:color w:val="595959"/>
        </w:rPr>
      </w:pPr>
      <w:r>
        <w:rPr>
          <w:rFonts w:asciiTheme="majorHAnsi" w:eastAsia="Calibri" w:hAnsiTheme="majorHAnsi" w:cstheme="majorHAnsi"/>
          <w:color w:val="595959"/>
        </w:rPr>
        <w:t>Αξίζει επίσης να σημειωθεί ότι</w:t>
      </w:r>
      <w:r w:rsidRPr="001853D9">
        <w:rPr>
          <w:rFonts w:asciiTheme="majorHAnsi" w:eastAsia="Calibri" w:hAnsiTheme="majorHAnsi" w:cstheme="majorHAnsi"/>
          <w:color w:val="595959"/>
        </w:rPr>
        <w:t xml:space="preserve"> ποσοστό 22,</w:t>
      </w:r>
      <w:r>
        <w:rPr>
          <w:rFonts w:asciiTheme="majorHAnsi" w:eastAsia="Calibri" w:hAnsiTheme="majorHAnsi" w:cstheme="majorHAnsi"/>
          <w:color w:val="595959"/>
        </w:rPr>
        <w:t>2</w:t>
      </w:r>
      <w:r w:rsidRPr="001853D9">
        <w:rPr>
          <w:rFonts w:asciiTheme="majorHAnsi" w:eastAsia="Calibri" w:hAnsiTheme="majorHAnsi" w:cstheme="majorHAnsi"/>
          <w:color w:val="595959"/>
        </w:rPr>
        <w:t>%</w:t>
      </w:r>
      <w:r>
        <w:rPr>
          <w:rFonts w:asciiTheme="majorHAnsi" w:eastAsia="Calibri" w:hAnsiTheme="majorHAnsi" w:cstheme="majorHAnsi"/>
          <w:color w:val="595959"/>
        </w:rPr>
        <w:t xml:space="preserve"> του συνολικού ληξιπρόθεσμου υπολοίπου, </w:t>
      </w:r>
      <w:r w:rsidRPr="001853D9">
        <w:rPr>
          <w:rFonts w:asciiTheme="majorHAnsi" w:eastAsia="Calibri" w:hAnsiTheme="majorHAnsi" w:cstheme="majorHAnsi"/>
          <w:color w:val="595959"/>
        </w:rPr>
        <w:t xml:space="preserve">που αντιστοιχεί σε </w:t>
      </w:r>
      <w:r>
        <w:rPr>
          <w:rFonts w:asciiTheme="majorHAnsi" w:eastAsia="Calibri" w:hAnsiTheme="majorHAnsi" w:cstheme="majorHAnsi"/>
          <w:color w:val="595959"/>
        </w:rPr>
        <w:t>25 δις ευρώ,</w:t>
      </w:r>
      <w:r w:rsidRPr="001853D9">
        <w:rPr>
          <w:rFonts w:asciiTheme="majorHAnsi" w:eastAsia="Calibri" w:hAnsiTheme="majorHAnsi" w:cstheme="majorHAnsi"/>
          <w:color w:val="595959"/>
        </w:rPr>
        <w:t xml:space="preserve"> αφορά σε οφειλές που χαρακτηρίζονται ως ανεπίδεκτες είσπραξης</w:t>
      </w:r>
      <w:r w:rsidRPr="001853D9">
        <w:rPr>
          <w:rStyle w:val="FootnoteReference"/>
          <w:rFonts w:asciiTheme="majorHAnsi" w:eastAsia="Calibri" w:hAnsiTheme="majorHAnsi" w:cstheme="majorHAnsi"/>
          <w:color w:val="595959"/>
        </w:rPr>
        <w:footnoteReference w:id="5"/>
      </w:r>
      <w:r w:rsidRPr="001853D9">
        <w:rPr>
          <w:rFonts w:asciiTheme="majorHAnsi" w:eastAsia="Calibri" w:hAnsiTheme="majorHAnsi" w:cstheme="majorHAnsi"/>
          <w:color w:val="595959"/>
        </w:rPr>
        <w:t>. Κατά συνέπεια</w:t>
      </w:r>
      <w:r w:rsidRPr="001853D9">
        <w:rPr>
          <w:rFonts w:asciiTheme="majorHAnsi" w:hAnsiTheme="majorHAnsi" w:cstheme="majorHAnsi"/>
          <w:b/>
        </w:rPr>
        <w:t xml:space="preserve"> </w:t>
      </w:r>
      <w:r w:rsidRPr="001853D9">
        <w:rPr>
          <w:rFonts w:asciiTheme="majorHAnsi" w:eastAsia="Calibri" w:hAnsiTheme="majorHAnsi" w:cstheme="majorHAnsi"/>
          <w:color w:val="595959"/>
        </w:rPr>
        <w:t>το «πραγματικό» ληξιπρόθεσμο υπόλοιπο, δηλαδή το συνολικό υπόλοιπο μετά την αφαίρεση του ανεπίδεκτου είσπραξης υπολοίπου</w:t>
      </w:r>
      <w:r w:rsidRPr="001853D9">
        <w:rPr>
          <w:rFonts w:asciiTheme="majorHAnsi" w:hAnsiTheme="majorHAnsi" w:cstheme="majorHAnsi"/>
          <w:b/>
        </w:rPr>
        <w:t xml:space="preserve"> </w:t>
      </w:r>
      <w:r>
        <w:rPr>
          <w:rFonts w:asciiTheme="majorHAnsi" w:eastAsia="Calibri" w:hAnsiTheme="majorHAnsi" w:cstheme="majorHAnsi"/>
          <w:color w:val="595959"/>
        </w:rPr>
        <w:t>ανέρχεται στα 87</w:t>
      </w:r>
      <w:r w:rsidRPr="001853D9">
        <w:rPr>
          <w:rFonts w:asciiTheme="majorHAnsi" w:eastAsia="Calibri" w:hAnsiTheme="majorHAnsi" w:cstheme="majorHAnsi"/>
          <w:color w:val="595959"/>
        </w:rPr>
        <w:t>,</w:t>
      </w:r>
      <w:r>
        <w:rPr>
          <w:rFonts w:asciiTheme="majorHAnsi" w:eastAsia="Calibri" w:hAnsiTheme="majorHAnsi" w:cstheme="majorHAnsi"/>
          <w:color w:val="595959"/>
        </w:rPr>
        <w:t>9</w:t>
      </w:r>
      <w:r w:rsidRPr="001853D9">
        <w:rPr>
          <w:rFonts w:asciiTheme="majorHAnsi" w:eastAsia="Calibri" w:hAnsiTheme="majorHAnsi" w:cstheme="majorHAnsi"/>
          <w:color w:val="595959"/>
        </w:rPr>
        <w:t xml:space="preserve"> δις ευρώ την 1/</w:t>
      </w:r>
      <w:r>
        <w:rPr>
          <w:rFonts w:asciiTheme="majorHAnsi" w:eastAsia="Calibri" w:hAnsiTheme="majorHAnsi" w:cstheme="majorHAnsi"/>
          <w:color w:val="595959"/>
        </w:rPr>
        <w:t>2</w:t>
      </w:r>
      <w:r w:rsidRPr="001853D9">
        <w:rPr>
          <w:rFonts w:asciiTheme="majorHAnsi" w:eastAsia="Calibri" w:hAnsiTheme="majorHAnsi" w:cstheme="majorHAnsi"/>
          <w:color w:val="595959"/>
        </w:rPr>
        <w:t>/202</w:t>
      </w:r>
      <w:r>
        <w:rPr>
          <w:rFonts w:asciiTheme="majorHAnsi" w:eastAsia="Calibri" w:hAnsiTheme="majorHAnsi" w:cstheme="majorHAnsi"/>
          <w:color w:val="595959"/>
        </w:rPr>
        <w:t>2</w:t>
      </w:r>
      <w:r w:rsidRPr="001853D9">
        <w:rPr>
          <w:rFonts w:asciiTheme="majorHAnsi" w:eastAsia="Calibri" w:hAnsiTheme="majorHAnsi" w:cstheme="majorHAnsi"/>
          <w:color w:val="595959"/>
        </w:rPr>
        <w:t xml:space="preserve">, σημειώνοντας αύξηση κατά </w:t>
      </w:r>
      <w:r>
        <w:rPr>
          <w:rFonts w:asciiTheme="majorHAnsi" w:eastAsia="Calibri" w:hAnsiTheme="majorHAnsi" w:cstheme="majorHAnsi"/>
          <w:color w:val="595959"/>
        </w:rPr>
        <w:t>3,1 δις</w:t>
      </w:r>
      <w:r w:rsidRPr="001853D9">
        <w:rPr>
          <w:rFonts w:asciiTheme="majorHAnsi" w:eastAsia="Calibri" w:hAnsiTheme="majorHAnsi" w:cstheme="majorHAnsi"/>
          <w:color w:val="595959"/>
        </w:rPr>
        <w:t xml:space="preserve"> ευρώ σε ετήσια βάση. </w:t>
      </w:r>
    </w:p>
    <w:p w14:paraId="64034A11" w14:textId="77777777" w:rsidR="005D3C5F" w:rsidRPr="001853D9" w:rsidRDefault="005D3C5F" w:rsidP="005945F6">
      <w:pPr>
        <w:spacing w:after="0" w:line="276" w:lineRule="auto"/>
        <w:jc w:val="both"/>
      </w:pPr>
    </w:p>
    <w:p w14:paraId="6D3D48C3" w14:textId="77777777" w:rsidR="002B4068" w:rsidRDefault="002B4068" w:rsidP="005945F6">
      <w:pPr>
        <w:pStyle w:val="Caption"/>
        <w:keepNext/>
        <w:jc w:val="center"/>
      </w:pPr>
      <w:bookmarkStart w:id="127" w:name="_Toc98189621"/>
      <w:r>
        <w:t xml:space="preserve">Διάγραμμα </w:t>
      </w:r>
      <w:r w:rsidR="0059099F">
        <w:fldChar w:fldCharType="begin"/>
      </w:r>
      <w:r w:rsidR="0059099F">
        <w:instrText xml:space="preserve"> SEQ Διάγραμμα \* ARABIC </w:instrText>
      </w:r>
      <w:r w:rsidR="0059099F">
        <w:fldChar w:fldCharType="separate"/>
      </w:r>
      <w:r>
        <w:rPr>
          <w:noProof/>
        </w:rPr>
        <w:t>8</w:t>
      </w:r>
      <w:r w:rsidR="0059099F">
        <w:rPr>
          <w:noProof/>
        </w:rPr>
        <w:fldChar w:fldCharType="end"/>
      </w:r>
      <w:r w:rsidRPr="002B4068">
        <w:t xml:space="preserve"> Πραγματικό και ανεπίδεκτο εί</w:t>
      </w:r>
      <w:r w:rsidR="00F240A8">
        <w:t>σπραξης ληξιπρόθεσμο υπόλοιπο,</w:t>
      </w:r>
      <w:r w:rsidRPr="002B4068">
        <w:t xml:space="preserve"> εκατ. ευρώ</w:t>
      </w:r>
      <w:bookmarkEnd w:id="127"/>
    </w:p>
    <w:p w14:paraId="631D51D4" w14:textId="77777777" w:rsidR="00654399" w:rsidRDefault="005D3C5F" w:rsidP="005D3C5F">
      <w:pPr>
        <w:spacing w:line="276" w:lineRule="auto"/>
        <w:jc w:val="center"/>
        <w:rPr>
          <w:rFonts w:asciiTheme="majorHAnsi" w:hAnsiTheme="majorHAnsi" w:cstheme="majorHAnsi"/>
          <w:color w:val="595959"/>
        </w:rPr>
      </w:pPr>
      <w:r w:rsidRPr="006C7227">
        <w:rPr>
          <w:rFonts w:asciiTheme="majorHAnsi" w:hAnsiTheme="majorHAnsi" w:cstheme="majorHAnsi"/>
          <w:noProof/>
          <w:color w:val="595959"/>
          <w:lang w:val="en-US"/>
        </w:rPr>
        <w:drawing>
          <wp:inline distT="0" distB="0" distL="0" distR="0" wp14:anchorId="4DE009C2" wp14:editId="26E32361">
            <wp:extent cx="3663315" cy="2833438"/>
            <wp:effectExtent l="0" t="0" r="0" b="0"/>
            <wp:docPr id="7" name="Εικόνα 7" descr="C:\Users\e.tamviskou\Downloads\tax-arrears-2021q4-jan202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amviskou\Downloads\tax-arrears-2021q4-jan2022 (1).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78452" cy="2845146"/>
                    </a:xfrm>
                    <a:prstGeom prst="rect">
                      <a:avLst/>
                    </a:prstGeom>
                    <a:noFill/>
                    <a:ln>
                      <a:noFill/>
                    </a:ln>
                  </pic:spPr>
                </pic:pic>
              </a:graphicData>
            </a:graphic>
          </wp:inline>
        </w:drawing>
      </w:r>
    </w:p>
    <w:p w14:paraId="76D92EEB" w14:textId="77777777" w:rsidR="005D3C5F" w:rsidRPr="00F26C10" w:rsidRDefault="005D3C5F" w:rsidP="001577B9">
      <w:pPr>
        <w:spacing w:after="0" w:line="276" w:lineRule="auto"/>
        <w:jc w:val="center"/>
        <w:rPr>
          <w:rFonts w:asciiTheme="majorHAnsi" w:eastAsia="Calibri" w:hAnsiTheme="majorHAnsi" w:cstheme="majorHAnsi"/>
          <w:color w:val="595959"/>
          <w:highlight w:val="yellow"/>
          <w:lang w:val="en-US"/>
        </w:rPr>
      </w:pPr>
    </w:p>
    <w:p w14:paraId="04E9E5B6" w14:textId="77777777" w:rsidR="005D3C5F" w:rsidRPr="00646D03" w:rsidRDefault="005D3C5F" w:rsidP="005D3C5F">
      <w:pPr>
        <w:spacing w:line="276" w:lineRule="auto"/>
        <w:jc w:val="both"/>
        <w:rPr>
          <w:rFonts w:asciiTheme="majorHAnsi" w:eastAsia="Calibri" w:hAnsiTheme="majorHAnsi" w:cstheme="majorHAnsi"/>
          <w:color w:val="595959"/>
        </w:rPr>
      </w:pPr>
      <w:r w:rsidRPr="00646D03">
        <w:rPr>
          <w:rFonts w:asciiTheme="majorHAnsi" w:eastAsia="Calibri" w:hAnsiTheme="majorHAnsi" w:cstheme="majorHAnsi"/>
          <w:color w:val="595959"/>
        </w:rPr>
        <w:t xml:space="preserve">Εξετάζοντας την ποιοτική διάρθρωση του πραγματικού ληξιπρόθεσμου υπολοίπου διαπιστώνουμε ότι μόνο το 51,1% αυτού, που αντιστοιχεί σε 45 δις ευρώ, πηγάζει από φορολογικές οφειλές (άμεσοι και έμμεσοι φόροι, φόροι στην περιουσία, ΦΠΑ, ειδικοί φόροι κατανάλωσης κτλ.). </w:t>
      </w:r>
    </w:p>
    <w:p w14:paraId="1C1E1FCE" w14:textId="77777777" w:rsidR="005D3C5F" w:rsidRPr="00646D03" w:rsidRDefault="005D3C5F" w:rsidP="00BD3403">
      <w:pPr>
        <w:spacing w:after="0" w:line="276" w:lineRule="auto"/>
        <w:jc w:val="both"/>
        <w:rPr>
          <w:rFonts w:asciiTheme="majorHAnsi" w:hAnsiTheme="majorHAnsi" w:cstheme="majorHAnsi"/>
          <w:color w:val="595959"/>
        </w:rPr>
      </w:pPr>
      <w:r w:rsidRPr="00646D03">
        <w:rPr>
          <w:rFonts w:asciiTheme="majorHAnsi" w:eastAsia="Calibri" w:hAnsiTheme="majorHAnsi" w:cstheme="majorHAnsi"/>
          <w:color w:val="595959"/>
        </w:rPr>
        <w:t>Το υπόλοιπο των πραγματικών ληξιπρόθεσμων οφειλών</w:t>
      </w:r>
      <w:r w:rsidRPr="00646D03">
        <w:rPr>
          <w:rFonts w:asciiTheme="majorHAnsi" w:hAnsiTheme="majorHAnsi" w:cstheme="majorHAnsi"/>
          <w:color w:val="595959"/>
        </w:rPr>
        <w:t xml:space="preserve"> προέρχεται από άλλες κατηγορίες οφειλής, οι οποίες παρουσιάζουν χαμηλό ποσοστό είσπραξης. Σύμφωνα με στοιχεία της ΑΑΔΕ, σε αυτές περιλαμβάνονται τα πρόστιμα </w:t>
      </w:r>
      <w:r w:rsidRPr="00646D03">
        <w:rPr>
          <w:rFonts w:asciiTheme="majorHAnsi" w:eastAsia="Calibri" w:hAnsiTheme="majorHAnsi" w:cstheme="majorHAnsi"/>
          <w:color w:val="595959"/>
        </w:rPr>
        <w:t>(φορολογικά και μη φορολογικά)</w:t>
      </w:r>
      <w:r w:rsidRPr="00646D03">
        <w:rPr>
          <w:rFonts w:asciiTheme="majorHAnsi" w:hAnsiTheme="majorHAnsi" w:cstheme="majorHAnsi"/>
          <w:color w:val="595959"/>
        </w:rPr>
        <w:t xml:space="preserve"> τα οποία αποτελούν το 28,2% του πραγματικού ληξιπρόθεσμου υπολοίπου, καθώς</w:t>
      </w:r>
      <w:r w:rsidRPr="00646D03">
        <w:rPr>
          <w:rFonts w:asciiTheme="majorHAnsi" w:eastAsia="Calibri" w:hAnsiTheme="majorHAnsi" w:cstheme="majorHAnsi"/>
          <w:color w:val="595959"/>
        </w:rPr>
        <w:t xml:space="preserve"> αγγίζουν τα 24,8 δις ευρώ</w:t>
      </w:r>
      <w:r w:rsidRPr="00646D03">
        <w:rPr>
          <w:rStyle w:val="FootnoteReference"/>
          <w:rFonts w:asciiTheme="majorHAnsi" w:eastAsia="Calibri" w:hAnsiTheme="majorHAnsi" w:cstheme="majorHAnsi"/>
          <w:color w:val="595959"/>
        </w:rPr>
        <w:footnoteReference w:id="6"/>
      </w:r>
      <w:r w:rsidRPr="00646D03">
        <w:rPr>
          <w:rFonts w:asciiTheme="majorHAnsi" w:eastAsia="Calibri" w:hAnsiTheme="majorHAnsi" w:cstheme="majorHAnsi"/>
          <w:color w:val="595959"/>
        </w:rPr>
        <w:t xml:space="preserve">. </w:t>
      </w:r>
      <w:r w:rsidRPr="00646D03">
        <w:rPr>
          <w:rFonts w:asciiTheme="majorHAnsi" w:hAnsiTheme="majorHAnsi" w:cstheme="majorHAnsi"/>
          <w:color w:val="595959"/>
        </w:rPr>
        <w:t xml:space="preserve">Επίσης, εκτός από τα πρόστιμα, χαμηλή εισπραξιμότητα διαπιστώνεται και στις μη </w:t>
      </w:r>
      <w:r w:rsidRPr="00646D03">
        <w:rPr>
          <w:rFonts w:asciiTheme="majorHAnsi" w:hAnsiTheme="majorHAnsi" w:cstheme="majorHAnsi"/>
          <w:color w:val="595959"/>
        </w:rPr>
        <w:lastRenderedPageBreak/>
        <w:t>φορολογικές οφειλές, οι οποίες αποτελούν το 20,7% του πραγματικού ληξιπρόθεσμου υπολοίπου, ποσοστό που αντιστοιχεί σε 18,2 δις ευρώ.</w:t>
      </w:r>
      <w:r w:rsidRPr="00646D03">
        <w:rPr>
          <w:rFonts w:asciiTheme="majorHAnsi" w:eastAsia="Calibri" w:hAnsiTheme="majorHAnsi" w:cstheme="majorHAnsi"/>
          <w:color w:val="595959"/>
        </w:rPr>
        <w:t xml:space="preserve"> Βασική συνιστώσα των μη φορολογικών οφειλών είναι η κατηγορία των «δανείων» που αφορούν σε καταπτώσεις εγγυήσεων του ελληνικού δημοσίου. Το κυριότερο μέρος αυτής της </w:t>
      </w:r>
      <w:r w:rsidRPr="00646D03">
        <w:rPr>
          <w:rFonts w:asciiTheme="majorHAnsi" w:hAnsiTheme="majorHAnsi" w:cstheme="majorHAnsi"/>
          <w:color w:val="595959"/>
        </w:rPr>
        <w:t>κατηγορίας οφειλής (85% των δανείων) αποτελεί το ληξιπρόθεσμο υπόλοιπο του Οργανισμού Σιδηροδρόμων Ελλάδος (ΟΣΕ), ύψους 10,7 δις ευρώ, για το οποίο έχει διαμορφωθεί το νομοθετικό πλαίσιο σε ευρωπαϊκό και εθνικό επίπεδο, ώστε να υπάρχει η δυνατότητα διαγραφής του</w:t>
      </w:r>
      <w:r w:rsidRPr="00646D03">
        <w:rPr>
          <w:rStyle w:val="FootnoteReference"/>
          <w:rFonts w:asciiTheme="majorHAnsi" w:hAnsiTheme="majorHAnsi" w:cstheme="majorHAnsi"/>
          <w:color w:val="595959"/>
        </w:rPr>
        <w:footnoteReference w:id="7"/>
      </w:r>
      <w:r w:rsidRPr="00646D03">
        <w:rPr>
          <w:rFonts w:asciiTheme="majorHAnsi" w:hAnsiTheme="majorHAnsi" w:cstheme="majorHAnsi"/>
          <w:color w:val="595959"/>
        </w:rPr>
        <w:t>. Εκτός από τα δάνεια στις μη φορολογικές οφειλές περιλαμβάνονται και κατηγορίες όπως «δικαστικά έξοδα», «καταλογισμοί», «μισθώματα» κτλ.</w:t>
      </w:r>
    </w:p>
    <w:p w14:paraId="4AB6ED83" w14:textId="77777777" w:rsidR="00BD3403" w:rsidRPr="002E0133" w:rsidRDefault="00BD3403" w:rsidP="00BD3403">
      <w:pPr>
        <w:spacing w:after="0" w:line="276" w:lineRule="auto"/>
        <w:jc w:val="both"/>
        <w:rPr>
          <w:rFonts w:asciiTheme="majorHAnsi" w:hAnsiTheme="majorHAnsi" w:cstheme="majorHAnsi"/>
          <w:color w:val="595959"/>
          <w:highlight w:val="yellow"/>
        </w:rPr>
      </w:pPr>
    </w:p>
    <w:p w14:paraId="66C2A5F6" w14:textId="77777777" w:rsidR="00654399" w:rsidRDefault="00654399" w:rsidP="005945F6">
      <w:pPr>
        <w:pStyle w:val="Caption"/>
        <w:keepNext/>
        <w:jc w:val="center"/>
      </w:pPr>
      <w:bookmarkStart w:id="128" w:name="_Toc98189622"/>
      <w:r>
        <w:t xml:space="preserve">Διάγραμμα </w:t>
      </w:r>
      <w:r w:rsidR="0059099F">
        <w:fldChar w:fldCharType="begin"/>
      </w:r>
      <w:r w:rsidR="0059099F">
        <w:instrText xml:space="preserve"> SEQ Διάγραμμα \* ARABIC </w:instrText>
      </w:r>
      <w:r w:rsidR="0059099F">
        <w:fldChar w:fldCharType="separate"/>
      </w:r>
      <w:r>
        <w:rPr>
          <w:noProof/>
        </w:rPr>
        <w:t>9</w:t>
      </w:r>
      <w:r w:rsidR="0059099F">
        <w:rPr>
          <w:noProof/>
        </w:rPr>
        <w:fldChar w:fldCharType="end"/>
      </w:r>
      <w:r w:rsidRPr="00654399">
        <w:rPr>
          <w:rFonts w:asciiTheme="majorHAnsi" w:hAnsiTheme="majorHAnsi" w:cstheme="majorHAnsi"/>
        </w:rPr>
        <w:t xml:space="preserve"> </w:t>
      </w:r>
      <w:r w:rsidRPr="005945F6">
        <w:t>Ποσοστιαία κατανομή πραγματικού ληξιπρόθεσμου υπολοίπου φορολογουμένων ανά κατηγορία οφειλής</w:t>
      </w:r>
      <w:bookmarkEnd w:id="128"/>
    </w:p>
    <w:p w14:paraId="5465B35F" w14:textId="77777777" w:rsidR="005D3C5F" w:rsidRDefault="005D3C5F" w:rsidP="005D3C5F">
      <w:pPr>
        <w:jc w:val="center"/>
      </w:pPr>
      <w:r w:rsidRPr="00342B7E">
        <w:rPr>
          <w:noProof/>
          <w:lang w:val="en-US"/>
        </w:rPr>
        <w:drawing>
          <wp:inline distT="0" distB="0" distL="0" distR="0" wp14:anchorId="72D11A26" wp14:editId="5AE522CF">
            <wp:extent cx="3823970" cy="2506980"/>
            <wp:effectExtent l="0" t="0" r="0" b="0"/>
            <wp:docPr id="10" name="Εικόνα 10" descr="C:\Users\e.tamviskou\Downloads\tax-arrears-2021q4-jan2022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tamviskou\Downloads\tax-arrears-2021q4-jan2022 (17).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835343" cy="2514436"/>
                    </a:xfrm>
                    <a:prstGeom prst="rect">
                      <a:avLst/>
                    </a:prstGeom>
                    <a:noFill/>
                    <a:ln>
                      <a:noFill/>
                    </a:ln>
                  </pic:spPr>
                </pic:pic>
              </a:graphicData>
            </a:graphic>
          </wp:inline>
        </w:drawing>
      </w:r>
    </w:p>
    <w:p w14:paraId="5C9F17A8" w14:textId="77777777" w:rsidR="00BD3403" w:rsidRPr="00FF5242" w:rsidRDefault="00BD3403" w:rsidP="00BD3403">
      <w:pPr>
        <w:spacing w:after="0"/>
        <w:jc w:val="center"/>
      </w:pPr>
    </w:p>
    <w:p w14:paraId="5E5B6132" w14:textId="77777777" w:rsidR="00DA3B8F" w:rsidRDefault="005D3C5F" w:rsidP="005D3C5F">
      <w:pPr>
        <w:spacing w:line="276" w:lineRule="auto"/>
        <w:jc w:val="both"/>
        <w:rPr>
          <w:rFonts w:asciiTheme="majorHAnsi" w:hAnsiTheme="majorHAnsi" w:cstheme="majorHAnsi"/>
          <w:color w:val="595959"/>
        </w:rPr>
      </w:pPr>
      <w:r w:rsidRPr="00646D03">
        <w:rPr>
          <w:rFonts w:asciiTheme="majorHAnsi" w:hAnsiTheme="majorHAnsi" w:cstheme="majorHAnsi"/>
          <w:color w:val="595959"/>
        </w:rPr>
        <w:t>Αναλύοντας περαιτέρω τις φορολογικές οφειλές που περιλαμβάνονται στο πραγματικό ληξιπρόθεσμο υπόλοιπο (45 δις ευρώ), διαπιστώνεται ότι και σε αυτές συμμετέχουν οφειλές με χαμηλό ποσοστό είσπραξης. Ειδικότερα, 8,9 δις ευρώ πηγάζουν από οφειλές αφερέγγυων οφειλετών (κυρίως πτωχών και υπό εκκαθάριση οφειλετών), ενώ 9,2 δις ευρώ αφορούν σε οφειλές με λήξη δόσεων πέραν της τελευταίας δεκαετίας. Συνεπώς, απομένουν 26,9 δις ευρώ οφειλών από τις οποίες, σύμφωνα με στοιχεία της ΑΑΔΕ, πηγάζει άνω του 90% των εισπράξεων. Με άλλα λόγια το σύνολο σχεδόν των εισπράξεων προέρχεται από μόλις το 30,6% του πραγματικού ληξιπρόθεσμου υπολοίπου, που ισοδυναμεί με το 23,8% του συνολικού ληξιπρόθεσμου υπολοίπου.</w:t>
      </w:r>
    </w:p>
    <w:p w14:paraId="72AC9AD8" w14:textId="77777777" w:rsidR="005D3C5F" w:rsidRPr="00981904" w:rsidRDefault="005D3C5F" w:rsidP="005D3C5F">
      <w:pPr>
        <w:spacing w:line="276" w:lineRule="auto"/>
        <w:jc w:val="both"/>
        <w:rPr>
          <w:rFonts w:asciiTheme="majorHAnsi" w:hAnsiTheme="majorHAnsi" w:cstheme="majorHAnsi"/>
          <w:color w:val="595959"/>
        </w:rPr>
      </w:pPr>
      <w:r w:rsidRPr="001853D9">
        <w:rPr>
          <w:rFonts w:asciiTheme="majorHAnsi" w:hAnsiTheme="majorHAnsi" w:cstheme="majorHAnsi"/>
          <w:color w:val="595959"/>
        </w:rPr>
        <w:t xml:space="preserve">Αναφορικά με τον συνολικό αριθμό των οφειλετών, στο τέλος του </w:t>
      </w:r>
      <w:r>
        <w:rPr>
          <w:rFonts w:asciiTheme="majorHAnsi" w:hAnsiTheme="majorHAnsi" w:cstheme="majorHAnsi"/>
          <w:color w:val="595959"/>
        </w:rPr>
        <w:t>Ιανουαρίου</w:t>
      </w:r>
      <w:r w:rsidRPr="001853D9">
        <w:rPr>
          <w:rFonts w:asciiTheme="majorHAnsi" w:hAnsiTheme="majorHAnsi" w:cstheme="majorHAnsi"/>
          <w:color w:val="595959"/>
        </w:rPr>
        <w:t xml:space="preserve"> του 202</w:t>
      </w:r>
      <w:r>
        <w:rPr>
          <w:rFonts w:asciiTheme="majorHAnsi" w:hAnsiTheme="majorHAnsi" w:cstheme="majorHAnsi"/>
          <w:color w:val="595959"/>
        </w:rPr>
        <w:t>2</w:t>
      </w:r>
      <w:r w:rsidRPr="001853D9">
        <w:rPr>
          <w:rFonts w:asciiTheme="majorHAnsi" w:hAnsiTheme="majorHAnsi" w:cstheme="majorHAnsi"/>
          <w:color w:val="595959"/>
        </w:rPr>
        <w:t xml:space="preserve"> </w:t>
      </w:r>
      <w:r w:rsidRPr="00981904">
        <w:rPr>
          <w:rFonts w:asciiTheme="majorHAnsi" w:hAnsiTheme="majorHAnsi" w:cstheme="majorHAnsi"/>
          <w:color w:val="595959"/>
        </w:rPr>
        <w:t xml:space="preserve">παρατηρείται μείωση κατά </w:t>
      </w:r>
      <w:r>
        <w:rPr>
          <w:rFonts w:asciiTheme="majorHAnsi" w:hAnsiTheme="majorHAnsi" w:cstheme="majorHAnsi"/>
          <w:color w:val="595959"/>
        </w:rPr>
        <w:t>61.687</w:t>
      </w:r>
      <w:r w:rsidRPr="00981904">
        <w:rPr>
          <w:rFonts w:asciiTheme="majorHAnsi" w:hAnsiTheme="majorHAnsi" w:cstheme="majorHAnsi"/>
          <w:color w:val="595959"/>
        </w:rPr>
        <w:t xml:space="preserve"> πρόσωπα (φυσικά και νομικά) σε σχέση με</w:t>
      </w:r>
      <w:r>
        <w:rPr>
          <w:rFonts w:asciiTheme="majorHAnsi" w:hAnsiTheme="majorHAnsi" w:cstheme="majorHAnsi"/>
          <w:color w:val="595959"/>
        </w:rPr>
        <w:t xml:space="preserve"> την αντίστοιχη περίοδο του 2021</w:t>
      </w:r>
      <w:r w:rsidRPr="00981904">
        <w:rPr>
          <w:rFonts w:asciiTheme="majorHAnsi" w:hAnsiTheme="majorHAnsi" w:cstheme="majorHAnsi"/>
          <w:color w:val="595959"/>
        </w:rPr>
        <w:t xml:space="preserve"> με αποτέλεσμα να διαμορφώνεται στους </w:t>
      </w:r>
      <w:r>
        <w:rPr>
          <w:rFonts w:asciiTheme="majorHAnsi" w:hAnsiTheme="majorHAnsi" w:cstheme="majorHAnsi"/>
          <w:color w:val="595959"/>
        </w:rPr>
        <w:t>4</w:t>
      </w:r>
      <w:r w:rsidRPr="00F03067">
        <w:rPr>
          <w:rFonts w:asciiTheme="majorHAnsi" w:hAnsiTheme="majorHAnsi" w:cstheme="majorHAnsi"/>
          <w:color w:val="595959"/>
        </w:rPr>
        <w:t>.</w:t>
      </w:r>
      <w:r>
        <w:rPr>
          <w:rFonts w:asciiTheme="majorHAnsi" w:hAnsiTheme="majorHAnsi" w:cstheme="majorHAnsi"/>
          <w:color w:val="595959"/>
        </w:rPr>
        <w:t xml:space="preserve">049.913 </w:t>
      </w:r>
      <w:r w:rsidRPr="00981904">
        <w:rPr>
          <w:rFonts w:asciiTheme="majorHAnsi" w:hAnsiTheme="majorHAnsi" w:cstheme="majorHAnsi"/>
          <w:color w:val="595959"/>
        </w:rPr>
        <w:t xml:space="preserve">οφειλέτες. </w:t>
      </w:r>
    </w:p>
    <w:p w14:paraId="62BD4EF2" w14:textId="77777777" w:rsidR="008A6F04" w:rsidRDefault="005D3C5F" w:rsidP="005D3C5F">
      <w:pPr>
        <w:spacing w:after="0" w:line="276" w:lineRule="auto"/>
        <w:jc w:val="both"/>
        <w:rPr>
          <w:rFonts w:asciiTheme="majorHAnsi" w:hAnsiTheme="majorHAnsi" w:cstheme="majorHAnsi"/>
          <w:color w:val="595959"/>
        </w:rPr>
      </w:pPr>
      <w:r w:rsidRPr="000049E4">
        <w:rPr>
          <w:rFonts w:asciiTheme="majorHAnsi" w:hAnsiTheme="majorHAnsi" w:cstheme="majorHAnsi"/>
          <w:color w:val="595959"/>
        </w:rPr>
        <w:t xml:space="preserve">Η ανωτέρω μείωση πηγάζει </w:t>
      </w:r>
      <w:r>
        <w:rPr>
          <w:rFonts w:asciiTheme="majorHAnsi" w:hAnsiTheme="majorHAnsi" w:cstheme="majorHAnsi"/>
          <w:color w:val="595959"/>
        </w:rPr>
        <w:t xml:space="preserve">πρωτίστως </w:t>
      </w:r>
      <w:r w:rsidRPr="000049E4">
        <w:rPr>
          <w:rFonts w:asciiTheme="majorHAnsi" w:hAnsiTheme="majorHAnsi" w:cstheme="majorHAnsi"/>
          <w:color w:val="595959"/>
        </w:rPr>
        <w:t xml:space="preserve">από την κατηγορία οφειλής μέχρι 50 ευρώ, με τον αριθμό των οφειλετών να εμφανίζεται μειωμένος κατά  126.594 πρόσωπα σε σχέση με την </w:t>
      </w:r>
      <w:r w:rsidRPr="000049E4">
        <w:rPr>
          <w:rFonts w:asciiTheme="majorHAnsi" w:hAnsiTheme="majorHAnsi" w:cstheme="majorHAnsi"/>
          <w:color w:val="595959"/>
        </w:rPr>
        <w:lastRenderedPageBreak/>
        <w:t xml:space="preserve">αντίστοιχη περίοδο του προηγούμενου έτους. </w:t>
      </w:r>
      <w:r w:rsidRPr="00B76CA0">
        <w:rPr>
          <w:rFonts w:asciiTheme="majorHAnsi" w:hAnsiTheme="majorHAnsi" w:cstheme="majorHAnsi"/>
          <w:color w:val="595959"/>
        </w:rPr>
        <w:t>Στη μείωση αυτή συνέβαλε κυρίως η περιοδική διαγραφή βεβαιωμένων ανείσπρακτων οφειλών νομικών προσώπων ή τρίτων με εισπρακτέο υπόλοιπο ανά βασική οφειλή μικρότερο του 1 ευρώ</w:t>
      </w:r>
      <w:r w:rsidRPr="00B76CA0">
        <w:rPr>
          <w:rStyle w:val="FootnoteReference"/>
          <w:rFonts w:asciiTheme="majorHAnsi" w:hAnsiTheme="majorHAnsi" w:cstheme="majorHAnsi"/>
          <w:color w:val="595959"/>
        </w:rPr>
        <w:footnoteReference w:id="8"/>
      </w:r>
      <w:r w:rsidRPr="00B76CA0">
        <w:rPr>
          <w:rFonts w:asciiTheme="majorHAnsi" w:hAnsiTheme="majorHAnsi" w:cstheme="majorHAnsi"/>
          <w:color w:val="595959"/>
        </w:rPr>
        <w:t xml:space="preserve">. </w:t>
      </w:r>
      <w:r w:rsidRPr="00964E5C">
        <w:rPr>
          <w:rFonts w:asciiTheme="majorHAnsi" w:hAnsiTheme="majorHAnsi" w:cstheme="majorHAnsi"/>
          <w:color w:val="595959"/>
        </w:rPr>
        <w:t>Η συγκεκριμένη διαγραφή οδήγησε σε μείωση του πλήθους των οφειλετών στην κατηγορία οφειλής μικρότερης του 1 ευρώ κατά 126.593 πρόσωπα σε ετήσια βάση, με τον συνολικό αριθμό των οφειλετών να διαμορφώνεται σε 125.956.</w:t>
      </w:r>
    </w:p>
    <w:p w14:paraId="138A8B22" w14:textId="77777777" w:rsidR="005D3C5F" w:rsidRPr="00522AB7" w:rsidRDefault="005D3C5F" w:rsidP="005D3C5F">
      <w:pPr>
        <w:spacing w:after="0" w:line="276" w:lineRule="auto"/>
        <w:jc w:val="both"/>
        <w:rPr>
          <w:rFonts w:asciiTheme="majorHAnsi" w:hAnsiTheme="majorHAnsi" w:cstheme="majorHAnsi"/>
          <w:color w:val="595959"/>
        </w:rPr>
      </w:pPr>
    </w:p>
    <w:p w14:paraId="45085C6F" w14:textId="77777777" w:rsidR="008A6F04" w:rsidRDefault="008A6F04" w:rsidP="005945F6">
      <w:pPr>
        <w:pStyle w:val="Caption"/>
        <w:keepNext/>
        <w:jc w:val="center"/>
      </w:pPr>
      <w:bookmarkStart w:id="129" w:name="_Toc98160547"/>
      <w:r>
        <w:t xml:space="preserve">Πίνακας </w:t>
      </w:r>
      <w:r w:rsidR="0059099F">
        <w:fldChar w:fldCharType="begin"/>
      </w:r>
      <w:r w:rsidR="0059099F">
        <w:instrText xml:space="preserve"> SEQ Πίνακας \* ARABIC </w:instrText>
      </w:r>
      <w:r w:rsidR="0059099F">
        <w:fldChar w:fldCharType="separate"/>
      </w:r>
      <w:r w:rsidR="003B23C4">
        <w:rPr>
          <w:noProof/>
        </w:rPr>
        <w:t>4</w:t>
      </w:r>
      <w:r w:rsidR="0059099F">
        <w:rPr>
          <w:noProof/>
        </w:rPr>
        <w:fldChar w:fldCharType="end"/>
      </w:r>
      <w:r w:rsidRPr="008A6F04">
        <w:t xml:space="preserve"> Κατανομή πλήθους οφειλετών με χρέη προς τη Φορολογική Διοίκηση</w:t>
      </w:r>
      <w:bookmarkEnd w:id="129"/>
    </w:p>
    <w:tbl>
      <w:tblPr>
        <w:tblW w:w="7209" w:type="dxa"/>
        <w:jc w:val="center"/>
        <w:tblLook w:val="04A0" w:firstRow="1" w:lastRow="0" w:firstColumn="1" w:lastColumn="0" w:noHBand="0" w:noVBand="1"/>
      </w:tblPr>
      <w:tblGrid>
        <w:gridCol w:w="1649"/>
        <w:gridCol w:w="1836"/>
        <w:gridCol w:w="1836"/>
        <w:gridCol w:w="1888"/>
      </w:tblGrid>
      <w:tr w:rsidR="005D3C5F" w:rsidRPr="001853D9" w14:paraId="02F4564A" w14:textId="77777777" w:rsidTr="003F4366">
        <w:trPr>
          <w:trHeight w:val="873"/>
          <w:jc w:val="center"/>
        </w:trPr>
        <w:tc>
          <w:tcPr>
            <w:tcW w:w="1649" w:type="dxa"/>
            <w:tcBorders>
              <w:top w:val="nil"/>
              <w:left w:val="nil"/>
              <w:bottom w:val="single" w:sz="4" w:space="0" w:color="auto"/>
              <w:right w:val="nil"/>
            </w:tcBorders>
            <w:shd w:val="clear" w:color="auto" w:fill="auto"/>
            <w:vAlign w:val="center"/>
            <w:hideMark/>
          </w:tcPr>
          <w:p w14:paraId="6CCEFA4B"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 xml:space="preserve">Εύρος οφειλής (ευρώ) </w:t>
            </w:r>
          </w:p>
        </w:tc>
        <w:tc>
          <w:tcPr>
            <w:tcW w:w="1836" w:type="dxa"/>
            <w:tcBorders>
              <w:top w:val="nil"/>
              <w:left w:val="nil"/>
              <w:bottom w:val="single" w:sz="4" w:space="0" w:color="auto"/>
              <w:right w:val="nil"/>
            </w:tcBorders>
            <w:shd w:val="clear" w:color="auto" w:fill="auto"/>
            <w:vAlign w:val="center"/>
            <w:hideMark/>
          </w:tcPr>
          <w:p w14:paraId="5B6505A2"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Πλήθος ΑΦΜ οφειλετών κατά την 1/</w:t>
            </w:r>
            <w:r>
              <w:rPr>
                <w:rFonts w:asciiTheme="majorHAnsi" w:eastAsia="Times New Roman" w:hAnsiTheme="majorHAnsi" w:cstheme="majorHAnsi"/>
                <w:bCs/>
                <w:color w:val="595959"/>
                <w:sz w:val="18"/>
                <w:szCs w:val="18"/>
                <w:lang w:eastAsia="el-GR"/>
              </w:rPr>
              <w:t>2</w:t>
            </w:r>
            <w:r w:rsidRPr="001853D9">
              <w:rPr>
                <w:rFonts w:asciiTheme="majorHAnsi" w:eastAsia="Times New Roman" w:hAnsiTheme="majorHAnsi" w:cstheme="majorHAnsi"/>
                <w:bCs/>
                <w:color w:val="595959"/>
                <w:sz w:val="18"/>
                <w:szCs w:val="18"/>
                <w:lang w:eastAsia="el-GR"/>
              </w:rPr>
              <w:t>/202</w:t>
            </w:r>
            <w:r>
              <w:rPr>
                <w:rFonts w:asciiTheme="majorHAnsi" w:eastAsia="Times New Roman" w:hAnsiTheme="majorHAnsi" w:cstheme="majorHAnsi"/>
                <w:bCs/>
                <w:color w:val="595959"/>
                <w:sz w:val="18"/>
                <w:szCs w:val="18"/>
                <w:lang w:eastAsia="el-GR"/>
              </w:rPr>
              <w:t>1</w:t>
            </w:r>
          </w:p>
        </w:tc>
        <w:tc>
          <w:tcPr>
            <w:tcW w:w="1836" w:type="dxa"/>
            <w:tcBorders>
              <w:top w:val="nil"/>
              <w:left w:val="nil"/>
              <w:bottom w:val="single" w:sz="4" w:space="0" w:color="auto"/>
              <w:right w:val="nil"/>
            </w:tcBorders>
            <w:shd w:val="clear" w:color="auto" w:fill="auto"/>
            <w:vAlign w:val="center"/>
            <w:hideMark/>
          </w:tcPr>
          <w:p w14:paraId="4D95F164"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Πλήθος ΑΦΜ οφειλετών κατά την 1/</w:t>
            </w:r>
            <w:r>
              <w:rPr>
                <w:rFonts w:asciiTheme="majorHAnsi" w:eastAsia="Times New Roman" w:hAnsiTheme="majorHAnsi" w:cstheme="majorHAnsi"/>
                <w:bCs/>
                <w:color w:val="595959"/>
                <w:sz w:val="18"/>
                <w:szCs w:val="18"/>
                <w:lang w:eastAsia="el-GR"/>
              </w:rPr>
              <w:t>2/2022</w:t>
            </w:r>
          </w:p>
        </w:tc>
        <w:tc>
          <w:tcPr>
            <w:tcW w:w="1888" w:type="dxa"/>
            <w:tcBorders>
              <w:top w:val="nil"/>
              <w:left w:val="nil"/>
              <w:bottom w:val="single" w:sz="4" w:space="0" w:color="auto"/>
              <w:right w:val="nil"/>
            </w:tcBorders>
            <w:shd w:val="clear" w:color="auto" w:fill="auto"/>
            <w:vAlign w:val="center"/>
            <w:hideMark/>
          </w:tcPr>
          <w:p w14:paraId="0C5A657E"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Μεταβολή πλήθους οφειλετών</w:t>
            </w:r>
          </w:p>
        </w:tc>
      </w:tr>
      <w:tr w:rsidR="005D3C5F" w:rsidRPr="001853D9" w14:paraId="4084E8AB" w14:textId="77777777" w:rsidTr="003F4366">
        <w:trPr>
          <w:trHeight w:val="218"/>
          <w:jc w:val="center"/>
        </w:trPr>
        <w:tc>
          <w:tcPr>
            <w:tcW w:w="1649" w:type="dxa"/>
            <w:tcBorders>
              <w:top w:val="nil"/>
              <w:left w:val="nil"/>
              <w:bottom w:val="nil"/>
              <w:right w:val="nil"/>
            </w:tcBorders>
            <w:shd w:val="clear" w:color="auto" w:fill="auto"/>
            <w:noWrap/>
            <w:vAlign w:val="bottom"/>
            <w:hideMark/>
          </w:tcPr>
          <w:p w14:paraId="729EFB3E"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&lt;50</w:t>
            </w:r>
          </w:p>
        </w:tc>
        <w:tc>
          <w:tcPr>
            <w:tcW w:w="1836" w:type="dxa"/>
            <w:tcBorders>
              <w:top w:val="nil"/>
              <w:left w:val="nil"/>
              <w:bottom w:val="nil"/>
              <w:right w:val="nil"/>
            </w:tcBorders>
            <w:shd w:val="clear" w:color="auto" w:fill="auto"/>
            <w:noWrap/>
          </w:tcPr>
          <w:p w14:paraId="581979BA"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816.291</w:t>
            </w:r>
          </w:p>
        </w:tc>
        <w:tc>
          <w:tcPr>
            <w:tcW w:w="1836" w:type="dxa"/>
            <w:tcBorders>
              <w:top w:val="nil"/>
              <w:left w:val="nil"/>
              <w:bottom w:val="nil"/>
              <w:right w:val="nil"/>
            </w:tcBorders>
            <w:shd w:val="clear" w:color="auto" w:fill="auto"/>
            <w:noWrap/>
          </w:tcPr>
          <w:p w14:paraId="645FBD3E"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689.697</w:t>
            </w:r>
          </w:p>
        </w:tc>
        <w:tc>
          <w:tcPr>
            <w:tcW w:w="1888" w:type="dxa"/>
            <w:tcBorders>
              <w:top w:val="nil"/>
              <w:left w:val="nil"/>
              <w:bottom w:val="nil"/>
              <w:right w:val="nil"/>
            </w:tcBorders>
            <w:shd w:val="clear" w:color="auto" w:fill="auto"/>
            <w:noWrap/>
          </w:tcPr>
          <w:p w14:paraId="47EBEA36"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-126.594</w:t>
            </w:r>
          </w:p>
        </w:tc>
      </w:tr>
      <w:tr w:rsidR="005D3C5F" w:rsidRPr="001853D9" w14:paraId="303BA1CB" w14:textId="77777777" w:rsidTr="003F4366">
        <w:trPr>
          <w:trHeight w:val="218"/>
          <w:jc w:val="center"/>
        </w:trPr>
        <w:tc>
          <w:tcPr>
            <w:tcW w:w="1649" w:type="dxa"/>
            <w:tcBorders>
              <w:top w:val="nil"/>
              <w:left w:val="nil"/>
              <w:bottom w:val="nil"/>
              <w:right w:val="nil"/>
            </w:tcBorders>
            <w:shd w:val="clear" w:color="auto" w:fill="auto"/>
            <w:noWrap/>
            <w:vAlign w:val="bottom"/>
          </w:tcPr>
          <w:p w14:paraId="45DEB3CC"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50-500</w:t>
            </w:r>
          </w:p>
        </w:tc>
        <w:tc>
          <w:tcPr>
            <w:tcW w:w="1836" w:type="dxa"/>
            <w:tcBorders>
              <w:top w:val="nil"/>
              <w:left w:val="nil"/>
              <w:bottom w:val="nil"/>
              <w:right w:val="nil"/>
            </w:tcBorders>
            <w:shd w:val="clear" w:color="auto" w:fill="auto"/>
            <w:noWrap/>
          </w:tcPr>
          <w:p w14:paraId="0BA4847C"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1.438.247</w:t>
            </w:r>
          </w:p>
        </w:tc>
        <w:tc>
          <w:tcPr>
            <w:tcW w:w="1836" w:type="dxa"/>
            <w:tcBorders>
              <w:top w:val="nil"/>
              <w:left w:val="nil"/>
              <w:bottom w:val="nil"/>
              <w:right w:val="nil"/>
            </w:tcBorders>
            <w:shd w:val="clear" w:color="auto" w:fill="auto"/>
            <w:noWrap/>
          </w:tcPr>
          <w:p w14:paraId="417B47B0"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1.497.308</w:t>
            </w:r>
          </w:p>
        </w:tc>
        <w:tc>
          <w:tcPr>
            <w:tcW w:w="1888" w:type="dxa"/>
            <w:tcBorders>
              <w:top w:val="nil"/>
              <w:left w:val="nil"/>
              <w:bottom w:val="nil"/>
              <w:right w:val="nil"/>
            </w:tcBorders>
            <w:shd w:val="clear" w:color="auto" w:fill="auto"/>
            <w:noWrap/>
          </w:tcPr>
          <w:p w14:paraId="3179FF15"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59.061</w:t>
            </w:r>
          </w:p>
        </w:tc>
      </w:tr>
      <w:tr w:rsidR="005D3C5F" w:rsidRPr="001853D9" w14:paraId="29D923F1" w14:textId="77777777" w:rsidTr="003F4366">
        <w:trPr>
          <w:trHeight w:val="218"/>
          <w:jc w:val="center"/>
        </w:trPr>
        <w:tc>
          <w:tcPr>
            <w:tcW w:w="1649" w:type="dxa"/>
            <w:tcBorders>
              <w:top w:val="nil"/>
              <w:left w:val="nil"/>
              <w:bottom w:val="nil"/>
              <w:right w:val="nil"/>
            </w:tcBorders>
            <w:shd w:val="clear" w:color="auto" w:fill="auto"/>
            <w:noWrap/>
            <w:vAlign w:val="bottom"/>
            <w:hideMark/>
          </w:tcPr>
          <w:p w14:paraId="7ABAC86D"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500-10.000</w:t>
            </w:r>
          </w:p>
        </w:tc>
        <w:tc>
          <w:tcPr>
            <w:tcW w:w="1836" w:type="dxa"/>
            <w:tcBorders>
              <w:top w:val="nil"/>
              <w:left w:val="nil"/>
              <w:bottom w:val="nil"/>
              <w:right w:val="nil"/>
            </w:tcBorders>
            <w:shd w:val="clear" w:color="auto" w:fill="auto"/>
            <w:noWrap/>
            <w:hideMark/>
          </w:tcPr>
          <w:p w14:paraId="6AA7FC13"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1.540.014</w:t>
            </w:r>
          </w:p>
        </w:tc>
        <w:tc>
          <w:tcPr>
            <w:tcW w:w="1836" w:type="dxa"/>
            <w:tcBorders>
              <w:top w:val="nil"/>
              <w:left w:val="nil"/>
              <w:bottom w:val="nil"/>
              <w:right w:val="nil"/>
            </w:tcBorders>
            <w:shd w:val="clear" w:color="auto" w:fill="auto"/>
            <w:noWrap/>
            <w:hideMark/>
          </w:tcPr>
          <w:p w14:paraId="497E561E"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1.535.140</w:t>
            </w:r>
          </w:p>
        </w:tc>
        <w:tc>
          <w:tcPr>
            <w:tcW w:w="1888" w:type="dxa"/>
            <w:tcBorders>
              <w:top w:val="nil"/>
              <w:left w:val="nil"/>
              <w:bottom w:val="nil"/>
              <w:right w:val="nil"/>
            </w:tcBorders>
            <w:shd w:val="clear" w:color="auto" w:fill="auto"/>
            <w:noWrap/>
          </w:tcPr>
          <w:p w14:paraId="0EBAA859"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-4.874</w:t>
            </w:r>
          </w:p>
        </w:tc>
      </w:tr>
      <w:tr w:rsidR="005D3C5F" w:rsidRPr="001853D9" w14:paraId="1EC2B501" w14:textId="77777777" w:rsidTr="003F4366">
        <w:trPr>
          <w:trHeight w:val="218"/>
          <w:jc w:val="center"/>
        </w:trPr>
        <w:tc>
          <w:tcPr>
            <w:tcW w:w="1649" w:type="dxa"/>
            <w:tcBorders>
              <w:top w:val="nil"/>
              <w:left w:val="nil"/>
              <w:bottom w:val="nil"/>
              <w:right w:val="nil"/>
            </w:tcBorders>
            <w:shd w:val="clear" w:color="auto" w:fill="auto"/>
            <w:noWrap/>
            <w:vAlign w:val="bottom"/>
            <w:hideMark/>
          </w:tcPr>
          <w:p w14:paraId="0A44A494"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10.000-100.000</w:t>
            </w:r>
          </w:p>
        </w:tc>
        <w:tc>
          <w:tcPr>
            <w:tcW w:w="1836" w:type="dxa"/>
            <w:tcBorders>
              <w:top w:val="nil"/>
              <w:left w:val="nil"/>
              <w:bottom w:val="nil"/>
              <w:right w:val="nil"/>
            </w:tcBorders>
            <w:shd w:val="clear" w:color="auto" w:fill="auto"/>
            <w:noWrap/>
            <w:hideMark/>
          </w:tcPr>
          <w:p w14:paraId="066A74F2"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270.151</w:t>
            </w:r>
          </w:p>
        </w:tc>
        <w:tc>
          <w:tcPr>
            <w:tcW w:w="1836" w:type="dxa"/>
            <w:tcBorders>
              <w:top w:val="nil"/>
              <w:left w:val="nil"/>
              <w:bottom w:val="nil"/>
              <w:right w:val="nil"/>
            </w:tcBorders>
            <w:shd w:val="clear" w:color="auto" w:fill="auto"/>
            <w:noWrap/>
            <w:hideMark/>
          </w:tcPr>
          <w:p w14:paraId="3D151DB7"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278.740</w:t>
            </w:r>
          </w:p>
        </w:tc>
        <w:tc>
          <w:tcPr>
            <w:tcW w:w="1888" w:type="dxa"/>
            <w:tcBorders>
              <w:top w:val="nil"/>
              <w:left w:val="nil"/>
              <w:bottom w:val="nil"/>
              <w:right w:val="nil"/>
            </w:tcBorders>
            <w:shd w:val="clear" w:color="auto" w:fill="auto"/>
            <w:noWrap/>
          </w:tcPr>
          <w:p w14:paraId="6E21B8FD"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8.589</w:t>
            </w:r>
          </w:p>
        </w:tc>
      </w:tr>
      <w:tr w:rsidR="005D3C5F" w:rsidRPr="001853D9" w14:paraId="2D05393A" w14:textId="77777777" w:rsidTr="003F4366">
        <w:trPr>
          <w:trHeight w:val="218"/>
          <w:jc w:val="center"/>
        </w:trPr>
        <w:tc>
          <w:tcPr>
            <w:tcW w:w="1649" w:type="dxa"/>
            <w:tcBorders>
              <w:top w:val="nil"/>
              <w:left w:val="nil"/>
              <w:bottom w:val="nil"/>
              <w:right w:val="nil"/>
            </w:tcBorders>
            <w:shd w:val="clear" w:color="auto" w:fill="auto"/>
            <w:noWrap/>
            <w:vAlign w:val="bottom"/>
            <w:hideMark/>
          </w:tcPr>
          <w:p w14:paraId="2EA69AD7"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100.000-1.000.000</w:t>
            </w:r>
          </w:p>
        </w:tc>
        <w:tc>
          <w:tcPr>
            <w:tcW w:w="1836" w:type="dxa"/>
            <w:tcBorders>
              <w:top w:val="nil"/>
              <w:left w:val="nil"/>
              <w:bottom w:val="nil"/>
              <w:right w:val="nil"/>
            </w:tcBorders>
            <w:shd w:val="clear" w:color="auto" w:fill="auto"/>
            <w:noWrap/>
            <w:hideMark/>
          </w:tcPr>
          <w:p w14:paraId="488EFBC7"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38.408</w:t>
            </w:r>
          </w:p>
        </w:tc>
        <w:tc>
          <w:tcPr>
            <w:tcW w:w="1836" w:type="dxa"/>
            <w:tcBorders>
              <w:top w:val="nil"/>
              <w:left w:val="nil"/>
              <w:bottom w:val="nil"/>
              <w:right w:val="nil"/>
            </w:tcBorders>
            <w:shd w:val="clear" w:color="auto" w:fill="auto"/>
            <w:noWrap/>
            <w:hideMark/>
          </w:tcPr>
          <w:p w14:paraId="305DDAAF"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40.203</w:t>
            </w:r>
          </w:p>
        </w:tc>
        <w:tc>
          <w:tcPr>
            <w:tcW w:w="1888" w:type="dxa"/>
            <w:tcBorders>
              <w:top w:val="nil"/>
              <w:left w:val="nil"/>
              <w:bottom w:val="nil"/>
              <w:right w:val="nil"/>
            </w:tcBorders>
            <w:shd w:val="clear" w:color="auto" w:fill="auto"/>
            <w:noWrap/>
          </w:tcPr>
          <w:p w14:paraId="1B9B39CD"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1.795</w:t>
            </w:r>
          </w:p>
        </w:tc>
      </w:tr>
      <w:tr w:rsidR="005D3C5F" w:rsidRPr="001853D9" w14:paraId="08E497BC" w14:textId="77777777" w:rsidTr="003F4366">
        <w:trPr>
          <w:trHeight w:val="218"/>
          <w:jc w:val="center"/>
        </w:trPr>
        <w:tc>
          <w:tcPr>
            <w:tcW w:w="1649" w:type="dxa"/>
            <w:tcBorders>
              <w:top w:val="nil"/>
              <w:left w:val="nil"/>
              <w:right w:val="nil"/>
            </w:tcBorders>
            <w:shd w:val="clear" w:color="auto" w:fill="auto"/>
            <w:noWrap/>
            <w:vAlign w:val="bottom"/>
            <w:hideMark/>
          </w:tcPr>
          <w:p w14:paraId="3C71320C"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&gt;1.000.000</w:t>
            </w:r>
          </w:p>
        </w:tc>
        <w:tc>
          <w:tcPr>
            <w:tcW w:w="1836" w:type="dxa"/>
            <w:tcBorders>
              <w:top w:val="nil"/>
              <w:left w:val="nil"/>
              <w:right w:val="nil"/>
            </w:tcBorders>
            <w:shd w:val="clear" w:color="auto" w:fill="auto"/>
            <w:noWrap/>
            <w:hideMark/>
          </w:tcPr>
          <w:p w14:paraId="5D99D73D"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8.489</w:t>
            </w:r>
          </w:p>
        </w:tc>
        <w:tc>
          <w:tcPr>
            <w:tcW w:w="1836" w:type="dxa"/>
            <w:tcBorders>
              <w:top w:val="nil"/>
              <w:left w:val="nil"/>
              <w:right w:val="nil"/>
            </w:tcBorders>
            <w:shd w:val="clear" w:color="auto" w:fill="auto"/>
            <w:noWrap/>
            <w:hideMark/>
          </w:tcPr>
          <w:p w14:paraId="71E33A0A"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8.825</w:t>
            </w:r>
          </w:p>
        </w:tc>
        <w:tc>
          <w:tcPr>
            <w:tcW w:w="1888" w:type="dxa"/>
            <w:tcBorders>
              <w:top w:val="nil"/>
              <w:left w:val="nil"/>
              <w:right w:val="nil"/>
            </w:tcBorders>
            <w:shd w:val="clear" w:color="auto" w:fill="auto"/>
            <w:noWrap/>
          </w:tcPr>
          <w:p w14:paraId="35368DA4"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CA2C0E">
              <w:rPr>
                <w:rFonts w:asciiTheme="majorHAnsi" w:eastAsia="Times New Roman" w:hAnsiTheme="majorHAnsi" w:cstheme="majorHAnsi"/>
                <w:color w:val="595959"/>
                <w:sz w:val="18"/>
                <w:szCs w:val="18"/>
                <w:lang w:eastAsia="el-GR"/>
              </w:rPr>
              <w:t>336</w:t>
            </w:r>
          </w:p>
        </w:tc>
      </w:tr>
      <w:tr w:rsidR="005D3C5F" w:rsidRPr="001853D9" w14:paraId="5CAF6066" w14:textId="77777777" w:rsidTr="003F4366">
        <w:trPr>
          <w:trHeight w:val="218"/>
          <w:jc w:val="center"/>
        </w:trPr>
        <w:tc>
          <w:tcPr>
            <w:tcW w:w="1649" w:type="dxa"/>
            <w:tcBorders>
              <w:top w:val="nil"/>
              <w:left w:val="nil"/>
              <w:bottom w:val="single" w:sz="4" w:space="0" w:color="auto"/>
              <w:right w:val="nil"/>
            </w:tcBorders>
            <w:shd w:val="clear" w:color="auto" w:fill="auto"/>
            <w:noWrap/>
            <w:vAlign w:val="bottom"/>
            <w:hideMark/>
          </w:tcPr>
          <w:p w14:paraId="449DC1E4" w14:textId="77777777" w:rsidR="005D3C5F" w:rsidRPr="001853D9" w:rsidRDefault="005D3C5F" w:rsidP="003F4366">
            <w:pPr>
              <w:spacing w:after="0" w:line="276" w:lineRule="auto"/>
              <w:rPr>
                <w:rFonts w:asciiTheme="majorHAnsi" w:eastAsia="Times New Roman" w:hAnsiTheme="majorHAnsi" w:cstheme="majorHAnsi"/>
                <w:b/>
                <w:bCs/>
                <w:color w:val="595959"/>
                <w:sz w:val="18"/>
                <w:szCs w:val="18"/>
                <w:lang w:eastAsia="el-GR"/>
              </w:rPr>
            </w:pPr>
            <w:r w:rsidRPr="001853D9">
              <w:rPr>
                <w:rFonts w:asciiTheme="majorHAnsi" w:eastAsia="Times New Roman" w:hAnsiTheme="majorHAnsi" w:cstheme="majorHAnsi"/>
                <w:b/>
                <w:bCs/>
                <w:color w:val="595959"/>
                <w:sz w:val="18"/>
                <w:szCs w:val="18"/>
                <w:lang w:eastAsia="el-GR"/>
              </w:rPr>
              <w:t>Σύνολο</w:t>
            </w:r>
          </w:p>
        </w:tc>
        <w:tc>
          <w:tcPr>
            <w:tcW w:w="1836" w:type="dxa"/>
            <w:tcBorders>
              <w:top w:val="nil"/>
              <w:left w:val="nil"/>
              <w:bottom w:val="single" w:sz="4" w:space="0" w:color="auto"/>
              <w:right w:val="nil"/>
            </w:tcBorders>
            <w:shd w:val="clear" w:color="auto" w:fill="auto"/>
            <w:noWrap/>
            <w:hideMark/>
          </w:tcPr>
          <w:p w14:paraId="73242350" w14:textId="77777777" w:rsidR="005D3C5F" w:rsidRPr="00CA2C0E" w:rsidRDefault="005D3C5F" w:rsidP="003F4366">
            <w:pPr>
              <w:spacing w:after="0" w:line="276" w:lineRule="auto"/>
              <w:jc w:val="center"/>
              <w:rPr>
                <w:rFonts w:asciiTheme="majorHAnsi" w:eastAsia="Times New Roman" w:hAnsiTheme="majorHAnsi" w:cstheme="majorHAnsi"/>
                <w:b/>
                <w:color w:val="595959"/>
                <w:sz w:val="18"/>
                <w:szCs w:val="18"/>
                <w:lang w:eastAsia="el-GR"/>
              </w:rPr>
            </w:pPr>
            <w:r w:rsidRPr="00CA2C0E">
              <w:rPr>
                <w:rFonts w:asciiTheme="majorHAnsi" w:eastAsia="Times New Roman" w:hAnsiTheme="majorHAnsi" w:cstheme="majorHAnsi"/>
                <w:b/>
                <w:color w:val="595959"/>
                <w:sz w:val="18"/>
                <w:szCs w:val="18"/>
                <w:lang w:eastAsia="el-GR"/>
              </w:rPr>
              <w:t>4.111.600</w:t>
            </w:r>
          </w:p>
        </w:tc>
        <w:tc>
          <w:tcPr>
            <w:tcW w:w="1836" w:type="dxa"/>
            <w:tcBorders>
              <w:top w:val="nil"/>
              <w:left w:val="nil"/>
              <w:bottom w:val="single" w:sz="4" w:space="0" w:color="auto"/>
              <w:right w:val="nil"/>
            </w:tcBorders>
            <w:shd w:val="clear" w:color="auto" w:fill="auto"/>
            <w:noWrap/>
            <w:hideMark/>
          </w:tcPr>
          <w:p w14:paraId="4C6BABF3" w14:textId="77777777" w:rsidR="005D3C5F" w:rsidRPr="00CA2C0E" w:rsidRDefault="005D3C5F" w:rsidP="003F4366">
            <w:pPr>
              <w:spacing w:after="0" w:line="276" w:lineRule="auto"/>
              <w:jc w:val="center"/>
              <w:rPr>
                <w:rFonts w:asciiTheme="majorHAnsi" w:eastAsia="Times New Roman" w:hAnsiTheme="majorHAnsi" w:cstheme="majorHAnsi"/>
                <w:b/>
                <w:color w:val="595959"/>
                <w:sz w:val="18"/>
                <w:szCs w:val="18"/>
                <w:lang w:eastAsia="el-GR"/>
              </w:rPr>
            </w:pPr>
            <w:r w:rsidRPr="00CA2C0E">
              <w:rPr>
                <w:rFonts w:asciiTheme="majorHAnsi" w:eastAsia="Times New Roman" w:hAnsiTheme="majorHAnsi" w:cstheme="majorHAnsi"/>
                <w:b/>
                <w:color w:val="595959"/>
                <w:sz w:val="18"/>
                <w:szCs w:val="18"/>
                <w:lang w:eastAsia="el-GR"/>
              </w:rPr>
              <w:t>4.049.913</w:t>
            </w:r>
          </w:p>
        </w:tc>
        <w:tc>
          <w:tcPr>
            <w:tcW w:w="1888" w:type="dxa"/>
            <w:tcBorders>
              <w:top w:val="nil"/>
              <w:left w:val="nil"/>
              <w:bottom w:val="single" w:sz="4" w:space="0" w:color="auto"/>
              <w:right w:val="nil"/>
            </w:tcBorders>
            <w:shd w:val="clear" w:color="auto" w:fill="auto"/>
            <w:noWrap/>
          </w:tcPr>
          <w:p w14:paraId="59B054BB" w14:textId="77777777" w:rsidR="005D3C5F" w:rsidRPr="00CA2C0E" w:rsidRDefault="005D3C5F" w:rsidP="003F4366">
            <w:pPr>
              <w:spacing w:after="0" w:line="276" w:lineRule="auto"/>
              <w:jc w:val="center"/>
              <w:rPr>
                <w:rFonts w:asciiTheme="majorHAnsi" w:eastAsia="Times New Roman" w:hAnsiTheme="majorHAnsi" w:cstheme="majorHAnsi"/>
                <w:b/>
                <w:color w:val="595959"/>
                <w:sz w:val="18"/>
                <w:szCs w:val="18"/>
                <w:lang w:eastAsia="el-GR"/>
              </w:rPr>
            </w:pPr>
            <w:r w:rsidRPr="00CA2C0E">
              <w:rPr>
                <w:rFonts w:asciiTheme="majorHAnsi" w:eastAsia="Times New Roman" w:hAnsiTheme="majorHAnsi" w:cstheme="majorHAnsi"/>
                <w:b/>
                <w:color w:val="595959"/>
                <w:sz w:val="18"/>
                <w:szCs w:val="18"/>
                <w:lang w:eastAsia="el-GR"/>
              </w:rPr>
              <w:t>-61.687</w:t>
            </w:r>
          </w:p>
        </w:tc>
      </w:tr>
      <w:tr w:rsidR="005D3C5F" w:rsidRPr="001853D9" w14:paraId="559AF885" w14:textId="77777777" w:rsidTr="003F4366">
        <w:trPr>
          <w:trHeight w:val="218"/>
          <w:jc w:val="center"/>
        </w:trPr>
        <w:tc>
          <w:tcPr>
            <w:tcW w:w="1649" w:type="dxa"/>
            <w:tcBorders>
              <w:top w:val="single" w:sz="4" w:space="0" w:color="auto"/>
              <w:left w:val="nil"/>
              <w:right w:val="nil"/>
            </w:tcBorders>
            <w:shd w:val="clear" w:color="auto" w:fill="auto"/>
            <w:noWrap/>
            <w:vAlign w:val="bottom"/>
          </w:tcPr>
          <w:p w14:paraId="4F121A6C" w14:textId="77777777" w:rsidR="005D3C5F" w:rsidRPr="001853D9" w:rsidRDefault="005D3C5F" w:rsidP="003F4366">
            <w:pPr>
              <w:spacing w:after="0" w:line="276" w:lineRule="auto"/>
              <w:rPr>
                <w:rFonts w:asciiTheme="majorHAnsi" w:eastAsia="Times New Roman" w:hAnsiTheme="majorHAnsi" w:cstheme="majorHAnsi"/>
                <w:bCs/>
                <w:color w:val="595959"/>
                <w:sz w:val="16"/>
                <w:szCs w:val="16"/>
                <w:lang w:eastAsia="el-GR"/>
              </w:rPr>
            </w:pPr>
            <w:r w:rsidRPr="001853D9">
              <w:rPr>
                <w:rFonts w:asciiTheme="majorHAnsi" w:eastAsia="Times New Roman" w:hAnsiTheme="majorHAnsi" w:cstheme="majorHAnsi"/>
                <w:bCs/>
                <w:color w:val="595959"/>
                <w:sz w:val="16"/>
                <w:szCs w:val="16"/>
                <w:lang w:eastAsia="el-GR"/>
              </w:rPr>
              <w:t>Πηγή: ΑΑΔΕ</w:t>
            </w:r>
          </w:p>
        </w:tc>
        <w:tc>
          <w:tcPr>
            <w:tcW w:w="1836" w:type="dxa"/>
            <w:tcBorders>
              <w:top w:val="single" w:sz="4" w:space="0" w:color="auto"/>
              <w:left w:val="nil"/>
              <w:right w:val="nil"/>
            </w:tcBorders>
            <w:shd w:val="clear" w:color="auto" w:fill="auto"/>
            <w:noWrap/>
            <w:vAlign w:val="bottom"/>
          </w:tcPr>
          <w:p w14:paraId="048C7442" w14:textId="77777777" w:rsidR="005D3C5F" w:rsidRPr="00F03067" w:rsidRDefault="005D3C5F" w:rsidP="003F4366">
            <w:pPr>
              <w:spacing w:after="0" w:line="276" w:lineRule="auto"/>
              <w:jc w:val="center"/>
              <w:rPr>
                <w:rFonts w:asciiTheme="majorHAnsi" w:eastAsia="Times New Roman" w:hAnsiTheme="majorHAnsi" w:cstheme="majorHAnsi"/>
                <w:b/>
                <w:bCs/>
                <w:color w:val="595959"/>
                <w:sz w:val="18"/>
                <w:szCs w:val="18"/>
                <w:lang w:eastAsia="el-GR"/>
              </w:rPr>
            </w:pPr>
          </w:p>
        </w:tc>
        <w:tc>
          <w:tcPr>
            <w:tcW w:w="1836" w:type="dxa"/>
            <w:tcBorders>
              <w:top w:val="single" w:sz="4" w:space="0" w:color="auto"/>
              <w:left w:val="nil"/>
              <w:right w:val="nil"/>
            </w:tcBorders>
            <w:shd w:val="clear" w:color="auto" w:fill="auto"/>
            <w:noWrap/>
            <w:vAlign w:val="bottom"/>
          </w:tcPr>
          <w:p w14:paraId="1B54C558" w14:textId="77777777" w:rsidR="005D3C5F" w:rsidRPr="00F03067" w:rsidRDefault="005D3C5F" w:rsidP="003F4366">
            <w:pPr>
              <w:spacing w:after="0" w:line="276" w:lineRule="auto"/>
              <w:jc w:val="center"/>
              <w:rPr>
                <w:rFonts w:asciiTheme="majorHAnsi" w:eastAsia="Times New Roman" w:hAnsiTheme="majorHAnsi" w:cstheme="majorHAnsi"/>
                <w:b/>
                <w:bCs/>
                <w:color w:val="595959"/>
                <w:sz w:val="18"/>
                <w:szCs w:val="18"/>
                <w:lang w:eastAsia="el-GR"/>
              </w:rPr>
            </w:pPr>
          </w:p>
        </w:tc>
        <w:tc>
          <w:tcPr>
            <w:tcW w:w="1888" w:type="dxa"/>
            <w:tcBorders>
              <w:top w:val="single" w:sz="4" w:space="0" w:color="auto"/>
              <w:left w:val="nil"/>
              <w:right w:val="nil"/>
            </w:tcBorders>
            <w:shd w:val="clear" w:color="auto" w:fill="auto"/>
            <w:noWrap/>
            <w:vAlign w:val="bottom"/>
          </w:tcPr>
          <w:p w14:paraId="1E2391BE" w14:textId="77777777" w:rsidR="005D3C5F" w:rsidRPr="00F03067" w:rsidRDefault="005D3C5F" w:rsidP="003F4366">
            <w:pPr>
              <w:spacing w:after="0" w:line="276" w:lineRule="auto"/>
              <w:jc w:val="center"/>
              <w:rPr>
                <w:rFonts w:asciiTheme="majorHAnsi" w:eastAsia="Times New Roman" w:hAnsiTheme="majorHAnsi" w:cstheme="majorHAnsi"/>
                <w:b/>
                <w:bCs/>
                <w:color w:val="595959"/>
                <w:sz w:val="18"/>
                <w:szCs w:val="18"/>
                <w:lang w:eastAsia="el-GR"/>
              </w:rPr>
            </w:pPr>
          </w:p>
        </w:tc>
      </w:tr>
    </w:tbl>
    <w:p w14:paraId="353CDFA2" w14:textId="77777777" w:rsidR="005D3C5F" w:rsidRPr="001853D9" w:rsidRDefault="005D3C5F" w:rsidP="005D3C5F">
      <w:pPr>
        <w:pStyle w:val="Caption"/>
        <w:keepNext/>
        <w:tabs>
          <w:tab w:val="left" w:pos="2304"/>
        </w:tabs>
        <w:spacing w:after="0" w:line="276" w:lineRule="auto"/>
        <w:rPr>
          <w:rFonts w:asciiTheme="majorHAnsi" w:hAnsiTheme="majorHAnsi" w:cstheme="majorHAnsi"/>
          <w:i w:val="0"/>
          <w:iCs w:val="0"/>
          <w:sz w:val="22"/>
          <w:szCs w:val="22"/>
          <w:highlight w:val="yellow"/>
        </w:rPr>
      </w:pPr>
    </w:p>
    <w:p w14:paraId="7B5C111B" w14:textId="77777777" w:rsidR="005D3C5F" w:rsidRPr="000E7502" w:rsidRDefault="005D3C5F" w:rsidP="005D3C5F">
      <w:pPr>
        <w:spacing w:after="120" w:line="276" w:lineRule="auto"/>
        <w:jc w:val="both"/>
        <w:rPr>
          <w:rFonts w:asciiTheme="majorHAnsi" w:eastAsia="Calibri" w:hAnsiTheme="majorHAnsi" w:cstheme="majorHAnsi"/>
          <w:color w:val="595959"/>
        </w:rPr>
      </w:pPr>
      <w:r w:rsidRPr="000E7502">
        <w:rPr>
          <w:rFonts w:asciiTheme="majorHAnsi" w:eastAsia="Calibri" w:hAnsiTheme="majorHAnsi" w:cstheme="majorHAnsi"/>
          <w:color w:val="595959"/>
        </w:rPr>
        <w:t xml:space="preserve">Μείωση του αριθμού των οφειλετών παρατηρείται </w:t>
      </w:r>
      <w:r>
        <w:rPr>
          <w:rFonts w:asciiTheme="majorHAnsi" w:eastAsia="Calibri" w:hAnsiTheme="majorHAnsi" w:cstheme="majorHAnsi"/>
          <w:color w:val="595959"/>
        </w:rPr>
        <w:t>επίσης</w:t>
      </w:r>
      <w:r w:rsidRPr="000E7502">
        <w:rPr>
          <w:rFonts w:asciiTheme="majorHAnsi" w:eastAsia="Calibri" w:hAnsiTheme="majorHAnsi" w:cstheme="majorHAnsi"/>
          <w:color w:val="595959"/>
        </w:rPr>
        <w:t xml:space="preserve"> στην κατηγορία οφειλής μεταξύ 500 και 10.000 ευρώ (κατά 4.874 πρόσωπα), η οποία ωστόσο πηγάζει από τους οφειλέτες που οφείλουν μεταξύ 500 και 5.000 ευρώ. Συγκεκριμένα</w:t>
      </w:r>
      <w:r>
        <w:rPr>
          <w:rFonts w:asciiTheme="majorHAnsi" w:eastAsia="Calibri" w:hAnsiTheme="majorHAnsi" w:cstheme="majorHAnsi"/>
          <w:color w:val="595959"/>
        </w:rPr>
        <w:t>,</w:t>
      </w:r>
      <w:r w:rsidRPr="000E7502">
        <w:rPr>
          <w:rFonts w:asciiTheme="majorHAnsi" w:eastAsia="Calibri" w:hAnsiTheme="majorHAnsi" w:cstheme="majorHAnsi"/>
          <w:color w:val="595959"/>
        </w:rPr>
        <w:t xml:space="preserve"> στο εν λόγω εύρος οφειλής παρατηρείται μείωση των οφειλ</w:t>
      </w:r>
      <w:r>
        <w:rPr>
          <w:rFonts w:asciiTheme="majorHAnsi" w:eastAsia="Calibri" w:hAnsiTheme="majorHAnsi" w:cstheme="majorHAnsi"/>
          <w:color w:val="595959"/>
        </w:rPr>
        <w:t>ετών</w:t>
      </w:r>
      <w:r w:rsidRPr="000E7502">
        <w:rPr>
          <w:rFonts w:asciiTheme="majorHAnsi" w:eastAsia="Calibri" w:hAnsiTheme="majorHAnsi" w:cstheme="majorHAnsi"/>
          <w:color w:val="595959"/>
        </w:rPr>
        <w:t xml:space="preserve"> κατά 8.695 πρόσωπα, η οποία συνοδεύεται από μείωση ληξιπρόθεσμων οφειλών κατά 15,5 εκατ. ευρώ.</w:t>
      </w:r>
    </w:p>
    <w:p w14:paraId="16092F0C" w14:textId="77777777" w:rsidR="005D3C5F" w:rsidRPr="006A0FB8" w:rsidRDefault="005D3C5F" w:rsidP="005D3C5F">
      <w:pPr>
        <w:spacing w:after="120" w:line="276" w:lineRule="auto"/>
        <w:jc w:val="both"/>
        <w:rPr>
          <w:rFonts w:asciiTheme="majorHAnsi" w:hAnsiTheme="majorHAnsi" w:cstheme="majorHAnsi"/>
          <w:color w:val="595959"/>
        </w:rPr>
      </w:pPr>
      <w:r w:rsidRPr="006A0FB8">
        <w:rPr>
          <w:rFonts w:asciiTheme="majorHAnsi" w:eastAsia="Calibri" w:hAnsiTheme="majorHAnsi" w:cstheme="majorHAnsi"/>
          <w:color w:val="595959"/>
        </w:rPr>
        <w:t xml:space="preserve">Αντίθετα, στις </w:t>
      </w:r>
      <w:r>
        <w:rPr>
          <w:rFonts w:asciiTheme="majorHAnsi" w:eastAsia="Calibri" w:hAnsiTheme="majorHAnsi" w:cstheme="majorHAnsi"/>
          <w:color w:val="595959"/>
        </w:rPr>
        <w:t>λοιπές</w:t>
      </w:r>
      <w:r w:rsidRPr="006A0FB8">
        <w:rPr>
          <w:rFonts w:asciiTheme="majorHAnsi" w:eastAsia="Calibri" w:hAnsiTheme="majorHAnsi" w:cstheme="majorHAnsi"/>
          <w:color w:val="595959"/>
        </w:rPr>
        <w:t xml:space="preserve"> κατηγορίες οφειλής διαπιστώνεται αύξηση τόσο στο πλήθος των οφειλετών, όσο και στο ληξιπρόθεσμο υπόλοιπο. Ειδικότερα στην κατηγορία οφειλής μεταξύ 50 και 500 ευρώ, </w:t>
      </w:r>
      <w:r w:rsidRPr="006A0FB8">
        <w:rPr>
          <w:rFonts w:asciiTheme="majorHAnsi" w:hAnsiTheme="majorHAnsi" w:cstheme="majorHAnsi"/>
          <w:color w:val="595959"/>
        </w:rPr>
        <w:t>στην οποία συσσωρεύεται το 37% των οφειλετών,</w:t>
      </w:r>
      <w:r w:rsidRPr="006A0FB8">
        <w:rPr>
          <w:rFonts w:asciiTheme="majorHAnsi" w:eastAsia="Calibri" w:hAnsiTheme="majorHAnsi" w:cstheme="majorHAnsi"/>
          <w:color w:val="595959"/>
        </w:rPr>
        <w:t xml:space="preserve"> εντοπίζεται η μεγαλύτερη αύξηση στο πλήθος τους σε σχέση με την αντίστοιχη περίοδο του προηγούμενου έτους (κατά 59.061 οφειλέτες),</w:t>
      </w:r>
      <w:r w:rsidRPr="006A0FB8">
        <w:rPr>
          <w:rFonts w:asciiTheme="majorHAnsi" w:hAnsiTheme="majorHAnsi" w:cstheme="majorHAnsi"/>
          <w:color w:val="595959"/>
        </w:rPr>
        <w:t xml:space="preserve"> η οποία ωστόσο συνοδεύεται από περιορισμένη αύξηση τω</w:t>
      </w:r>
      <w:r>
        <w:rPr>
          <w:rFonts w:asciiTheme="majorHAnsi" w:hAnsiTheme="majorHAnsi" w:cstheme="majorHAnsi"/>
          <w:color w:val="595959"/>
        </w:rPr>
        <w:t>ν ληξιπρόθεσμων οφειλών (κατά 12</w:t>
      </w:r>
      <w:r w:rsidRPr="006A0FB8">
        <w:rPr>
          <w:rFonts w:asciiTheme="majorHAnsi" w:hAnsiTheme="majorHAnsi" w:cstheme="majorHAnsi"/>
          <w:color w:val="595959"/>
        </w:rPr>
        <w:t>,</w:t>
      </w:r>
      <w:r>
        <w:rPr>
          <w:rFonts w:asciiTheme="majorHAnsi" w:hAnsiTheme="majorHAnsi" w:cstheme="majorHAnsi"/>
          <w:color w:val="595959"/>
        </w:rPr>
        <w:t>9</w:t>
      </w:r>
      <w:r w:rsidRPr="006A0FB8">
        <w:rPr>
          <w:rFonts w:asciiTheme="majorHAnsi" w:hAnsiTheme="majorHAnsi" w:cstheme="majorHAnsi"/>
          <w:color w:val="595959"/>
        </w:rPr>
        <w:t xml:space="preserve"> εκατ. ευρώ),</w:t>
      </w:r>
      <w:r w:rsidRPr="006A0FB8">
        <w:rPr>
          <w:rFonts w:asciiTheme="majorHAnsi" w:hAnsiTheme="majorHAnsi" w:cstheme="majorHAnsi"/>
        </w:rPr>
        <w:t xml:space="preserve"> </w:t>
      </w:r>
      <w:r w:rsidRPr="006A0FB8">
        <w:rPr>
          <w:rFonts w:asciiTheme="majorHAnsi" w:hAnsiTheme="majorHAnsi" w:cstheme="majorHAnsi"/>
          <w:color w:val="595959"/>
        </w:rPr>
        <w:t>καθώς στην κατηγορία αυτή περιλαμβάνεται μόλις το 0,3% του συνολικού ληξιπρόθεσμου υπολοίπου.</w:t>
      </w:r>
    </w:p>
    <w:p w14:paraId="795EAB1C" w14:textId="77777777" w:rsidR="005D3C5F" w:rsidRPr="0016211D" w:rsidRDefault="005D3C5F" w:rsidP="005D3C5F">
      <w:pPr>
        <w:spacing w:after="120" w:line="276" w:lineRule="auto"/>
        <w:jc w:val="both"/>
        <w:rPr>
          <w:rFonts w:asciiTheme="majorHAnsi" w:eastAsia="Calibri" w:hAnsiTheme="majorHAnsi" w:cstheme="majorHAnsi"/>
          <w:color w:val="595959"/>
        </w:rPr>
      </w:pPr>
      <w:r w:rsidRPr="0016211D">
        <w:rPr>
          <w:rFonts w:asciiTheme="majorHAnsi" w:eastAsia="Calibri" w:hAnsiTheme="majorHAnsi" w:cstheme="majorHAnsi"/>
          <w:color w:val="595959"/>
        </w:rPr>
        <w:t>Από την άλλη πλευρά, το μεγαλύτερο μέρος της αύξησης του συνολικού ληξιπρόθεσμου υπολοίπου σε ετήσια βάση πηγάζει από τους οφειλέτες με ύψος οφειλής άνω του 1 εκατ. ευρώ (αύξηση του ληξιπρόθεσμου υπολοίπου σε αυτήν την κατηγορία κατά 3,3 δις ευρώ), ο αριθμός των οποίων σημείωσε αύξηση κατά 336 πρόσωπα. Σημειώνεται ότι στη συγκεκριμένη κατηγορία οφειλής συγκεντρώνεται το 80% του συνολικού ληξιπρόθεσμου υπολοίπου και μόλις το 0,2% των οφειλετών.</w:t>
      </w:r>
    </w:p>
    <w:p w14:paraId="3FD74383" w14:textId="77777777" w:rsidR="005D3C5F" w:rsidRPr="00737846" w:rsidRDefault="005D3C5F" w:rsidP="005D3C5F">
      <w:pPr>
        <w:spacing w:after="0" w:line="276" w:lineRule="auto"/>
        <w:jc w:val="both"/>
        <w:rPr>
          <w:rFonts w:asciiTheme="majorHAnsi" w:eastAsia="Calibri" w:hAnsiTheme="majorHAnsi" w:cstheme="majorHAnsi"/>
          <w:color w:val="595959"/>
        </w:rPr>
      </w:pPr>
      <w:r w:rsidRPr="00737846">
        <w:rPr>
          <w:rFonts w:asciiTheme="majorHAnsi" w:eastAsia="Calibri" w:hAnsiTheme="majorHAnsi" w:cstheme="majorHAnsi"/>
          <w:color w:val="595959"/>
        </w:rPr>
        <w:t>Στην αύξηση του ληξιπρόθεσμου υπολοίπου στο εύρος οφειλής άνω του 1 εκατ. ευρώ σημαντική είναι η συνεισφορά των νομικών προσώπων καθώς οι οφειλές που προέρχονται από αυτά αυξήθηκαν κατά 2,7 δις ευρώ</w:t>
      </w:r>
      <w:r>
        <w:rPr>
          <w:rFonts w:asciiTheme="majorHAnsi" w:eastAsia="Calibri" w:hAnsiTheme="majorHAnsi" w:cstheme="majorHAnsi"/>
          <w:color w:val="595959"/>
        </w:rPr>
        <w:t xml:space="preserve"> σε ετήσια βάση. Σημειώνεται ότι</w:t>
      </w:r>
      <w:r w:rsidRPr="00737846">
        <w:rPr>
          <w:rFonts w:asciiTheme="majorHAnsi" w:eastAsia="Calibri" w:hAnsiTheme="majorHAnsi" w:cstheme="majorHAnsi"/>
          <w:color w:val="595959"/>
        </w:rPr>
        <w:t xml:space="preserve"> </w:t>
      </w:r>
      <w:r>
        <w:rPr>
          <w:rFonts w:asciiTheme="majorHAnsi" w:eastAsia="Calibri" w:hAnsiTheme="majorHAnsi" w:cstheme="majorHAnsi"/>
          <w:color w:val="595959"/>
        </w:rPr>
        <w:t xml:space="preserve">από τα νομικά πρόσωπα προέρχεται το 73% των οφειλών στο συγκεκριμένο εύρος οφειλής με το </w:t>
      </w:r>
      <w:r>
        <w:rPr>
          <w:rFonts w:asciiTheme="majorHAnsi" w:eastAsia="Calibri" w:hAnsiTheme="majorHAnsi" w:cstheme="majorHAnsi"/>
          <w:color w:val="595959"/>
        </w:rPr>
        <w:lastRenderedPageBreak/>
        <w:t xml:space="preserve">ληξιπρόθεσμο υπόλοιπό τους να αγγίζει </w:t>
      </w:r>
      <w:r w:rsidRPr="00737846">
        <w:rPr>
          <w:rFonts w:asciiTheme="majorHAnsi" w:eastAsia="Calibri" w:hAnsiTheme="majorHAnsi" w:cstheme="majorHAnsi"/>
          <w:color w:val="595959"/>
        </w:rPr>
        <w:t>στο τέλος του Ιανουαρίου του 2022 τα 66 δις ευρώ</w:t>
      </w:r>
      <w:r>
        <w:rPr>
          <w:rFonts w:asciiTheme="majorHAnsi" w:eastAsia="Calibri" w:hAnsiTheme="majorHAnsi" w:cstheme="majorHAnsi"/>
          <w:color w:val="595959"/>
        </w:rPr>
        <w:t xml:space="preserve">. </w:t>
      </w:r>
      <w:r w:rsidRPr="00737846">
        <w:rPr>
          <w:rFonts w:asciiTheme="majorHAnsi" w:eastAsia="Calibri" w:hAnsiTheme="majorHAnsi" w:cstheme="majorHAnsi"/>
          <w:color w:val="595959"/>
        </w:rPr>
        <w:t>Αντίστοιχα το πλήθος των νομικών προσώπων που οφείλουν πάνω από 1 εκατ. ευρώ διαμορφώθηκε στα 5.378, καθώς αυξήθηκε σε ετήσια βάση κατά 193 νομικά πρόσωπα.</w:t>
      </w:r>
    </w:p>
    <w:p w14:paraId="4045D99F" w14:textId="77777777" w:rsidR="005D3C5F" w:rsidRPr="009C3C52" w:rsidRDefault="005D3C5F" w:rsidP="005D3C5F">
      <w:pPr>
        <w:pStyle w:val="Caption"/>
        <w:keepNext/>
        <w:tabs>
          <w:tab w:val="left" w:pos="2304"/>
        </w:tabs>
        <w:spacing w:after="0" w:line="276" w:lineRule="auto"/>
        <w:rPr>
          <w:rFonts w:asciiTheme="majorHAnsi" w:hAnsiTheme="majorHAnsi" w:cstheme="majorHAnsi"/>
          <w:i w:val="0"/>
          <w:iCs w:val="0"/>
          <w:sz w:val="22"/>
          <w:szCs w:val="22"/>
        </w:rPr>
      </w:pPr>
      <w:r w:rsidRPr="00737846">
        <w:rPr>
          <w:rFonts w:asciiTheme="majorHAnsi" w:hAnsiTheme="majorHAnsi" w:cstheme="majorHAnsi"/>
          <w:sz w:val="22"/>
          <w:szCs w:val="22"/>
        </w:rPr>
        <w:tab/>
      </w:r>
    </w:p>
    <w:p w14:paraId="52BA8B37" w14:textId="77777777" w:rsidR="00F03323" w:rsidRDefault="00F03323" w:rsidP="005945F6">
      <w:pPr>
        <w:pStyle w:val="Caption"/>
        <w:jc w:val="center"/>
      </w:pPr>
      <w:bookmarkStart w:id="130" w:name="_Toc98160548"/>
      <w:r>
        <w:t xml:space="preserve">Πίνακας </w:t>
      </w:r>
      <w:r w:rsidR="0059099F">
        <w:fldChar w:fldCharType="begin"/>
      </w:r>
      <w:r w:rsidR="0059099F">
        <w:instrText xml:space="preserve"> SEQ Πίνακας \* ARABIC </w:instrText>
      </w:r>
      <w:r w:rsidR="0059099F">
        <w:fldChar w:fldCharType="separate"/>
      </w:r>
      <w:r w:rsidR="003B23C4">
        <w:rPr>
          <w:noProof/>
        </w:rPr>
        <w:t>5</w:t>
      </w:r>
      <w:r w:rsidR="0059099F">
        <w:rPr>
          <w:noProof/>
        </w:rPr>
        <w:fldChar w:fldCharType="end"/>
      </w:r>
      <w:r w:rsidRPr="00F03323">
        <w:rPr>
          <w:rFonts w:asciiTheme="majorHAnsi" w:hAnsiTheme="majorHAnsi" w:cstheme="majorHAnsi"/>
        </w:rPr>
        <w:t xml:space="preserve"> </w:t>
      </w:r>
      <w:r w:rsidRPr="005945F6">
        <w:t>Κατανομή ληξιπρόθεσμων οφειλών προς τη Φορολογική Διοίκηση, σε εκατ. ευρώ</w:t>
      </w:r>
      <w:bookmarkEnd w:id="130"/>
    </w:p>
    <w:tbl>
      <w:tblPr>
        <w:tblW w:w="6754" w:type="dxa"/>
        <w:jc w:val="center"/>
        <w:tblLook w:val="04A0" w:firstRow="1" w:lastRow="0" w:firstColumn="1" w:lastColumn="0" w:noHBand="0" w:noVBand="1"/>
      </w:tblPr>
      <w:tblGrid>
        <w:gridCol w:w="1706"/>
        <w:gridCol w:w="1835"/>
        <w:gridCol w:w="1835"/>
        <w:gridCol w:w="1378"/>
      </w:tblGrid>
      <w:tr w:rsidR="005D3C5F" w:rsidRPr="001853D9" w14:paraId="508EE3B0" w14:textId="77777777" w:rsidTr="003F4366">
        <w:trPr>
          <w:trHeight w:val="873"/>
          <w:jc w:val="center"/>
        </w:trPr>
        <w:tc>
          <w:tcPr>
            <w:tcW w:w="1706" w:type="dxa"/>
            <w:tcBorders>
              <w:top w:val="nil"/>
              <w:left w:val="nil"/>
              <w:bottom w:val="single" w:sz="4" w:space="0" w:color="auto"/>
              <w:right w:val="nil"/>
            </w:tcBorders>
            <w:shd w:val="clear" w:color="auto" w:fill="auto"/>
            <w:vAlign w:val="center"/>
            <w:hideMark/>
          </w:tcPr>
          <w:p w14:paraId="597BB0BE"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 xml:space="preserve">Εύρος οφειλής (ευρώ) </w:t>
            </w:r>
          </w:p>
        </w:tc>
        <w:tc>
          <w:tcPr>
            <w:tcW w:w="1835" w:type="dxa"/>
            <w:tcBorders>
              <w:top w:val="nil"/>
              <w:left w:val="nil"/>
              <w:bottom w:val="single" w:sz="4" w:space="0" w:color="auto"/>
              <w:right w:val="nil"/>
            </w:tcBorders>
            <w:shd w:val="clear" w:color="auto" w:fill="auto"/>
            <w:vAlign w:val="center"/>
            <w:hideMark/>
          </w:tcPr>
          <w:p w14:paraId="79385B36"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Ληξιπρόθεσμες οφειλές κατά την 1/</w:t>
            </w:r>
            <w:r>
              <w:rPr>
                <w:rFonts w:asciiTheme="majorHAnsi" w:eastAsia="Times New Roman" w:hAnsiTheme="majorHAnsi" w:cstheme="majorHAnsi"/>
                <w:bCs/>
                <w:color w:val="595959"/>
                <w:sz w:val="18"/>
                <w:szCs w:val="18"/>
                <w:lang w:eastAsia="el-GR"/>
              </w:rPr>
              <w:t>2</w:t>
            </w:r>
            <w:r w:rsidRPr="001853D9">
              <w:rPr>
                <w:rFonts w:asciiTheme="majorHAnsi" w:eastAsia="Times New Roman" w:hAnsiTheme="majorHAnsi" w:cstheme="majorHAnsi"/>
                <w:bCs/>
                <w:color w:val="595959"/>
                <w:sz w:val="18"/>
                <w:szCs w:val="18"/>
                <w:lang w:eastAsia="el-GR"/>
              </w:rPr>
              <w:t>/202</w:t>
            </w:r>
            <w:r>
              <w:rPr>
                <w:rFonts w:asciiTheme="majorHAnsi" w:eastAsia="Times New Roman" w:hAnsiTheme="majorHAnsi" w:cstheme="majorHAnsi"/>
                <w:bCs/>
                <w:color w:val="595959"/>
                <w:sz w:val="18"/>
                <w:szCs w:val="18"/>
                <w:lang w:eastAsia="el-GR"/>
              </w:rPr>
              <w:t>1</w:t>
            </w:r>
          </w:p>
        </w:tc>
        <w:tc>
          <w:tcPr>
            <w:tcW w:w="1835" w:type="dxa"/>
            <w:tcBorders>
              <w:top w:val="nil"/>
              <w:left w:val="nil"/>
              <w:bottom w:val="single" w:sz="4" w:space="0" w:color="auto"/>
              <w:right w:val="nil"/>
            </w:tcBorders>
            <w:shd w:val="clear" w:color="auto" w:fill="auto"/>
            <w:vAlign w:val="center"/>
            <w:hideMark/>
          </w:tcPr>
          <w:p w14:paraId="02101FEE"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Ληξιπρόθεσμες οφειλές κατά την  1/</w:t>
            </w:r>
            <w:r>
              <w:rPr>
                <w:rFonts w:asciiTheme="majorHAnsi" w:eastAsia="Times New Roman" w:hAnsiTheme="majorHAnsi" w:cstheme="majorHAnsi"/>
                <w:bCs/>
                <w:color w:val="595959"/>
                <w:sz w:val="18"/>
                <w:szCs w:val="18"/>
                <w:lang w:eastAsia="el-GR"/>
              </w:rPr>
              <w:t>2</w:t>
            </w:r>
            <w:r w:rsidRPr="001853D9">
              <w:rPr>
                <w:rFonts w:asciiTheme="majorHAnsi" w:eastAsia="Times New Roman" w:hAnsiTheme="majorHAnsi" w:cstheme="majorHAnsi"/>
                <w:bCs/>
                <w:color w:val="595959"/>
                <w:sz w:val="18"/>
                <w:szCs w:val="18"/>
                <w:lang w:eastAsia="el-GR"/>
              </w:rPr>
              <w:t>/202</w:t>
            </w:r>
            <w:r>
              <w:rPr>
                <w:rFonts w:asciiTheme="majorHAnsi" w:eastAsia="Times New Roman" w:hAnsiTheme="majorHAnsi" w:cstheme="majorHAnsi"/>
                <w:bCs/>
                <w:color w:val="595959"/>
                <w:sz w:val="18"/>
                <w:szCs w:val="18"/>
                <w:lang w:eastAsia="el-GR"/>
              </w:rPr>
              <w:t>2</w:t>
            </w:r>
          </w:p>
        </w:tc>
        <w:tc>
          <w:tcPr>
            <w:tcW w:w="1378" w:type="dxa"/>
            <w:tcBorders>
              <w:top w:val="nil"/>
              <w:left w:val="nil"/>
              <w:bottom w:val="single" w:sz="4" w:space="0" w:color="auto"/>
              <w:right w:val="nil"/>
            </w:tcBorders>
            <w:shd w:val="clear" w:color="auto" w:fill="auto"/>
            <w:vAlign w:val="center"/>
            <w:hideMark/>
          </w:tcPr>
          <w:p w14:paraId="3FA5A3EF"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Μεταβολή ληξιπρόθεσμων οφειλών</w:t>
            </w:r>
          </w:p>
        </w:tc>
      </w:tr>
      <w:tr w:rsidR="005D3C5F" w:rsidRPr="001853D9" w14:paraId="00930C26" w14:textId="77777777" w:rsidTr="003F4366">
        <w:trPr>
          <w:trHeight w:val="218"/>
          <w:jc w:val="center"/>
        </w:trPr>
        <w:tc>
          <w:tcPr>
            <w:tcW w:w="1706" w:type="dxa"/>
            <w:tcBorders>
              <w:top w:val="nil"/>
              <w:left w:val="nil"/>
              <w:bottom w:val="nil"/>
              <w:right w:val="nil"/>
            </w:tcBorders>
            <w:shd w:val="clear" w:color="auto" w:fill="auto"/>
            <w:noWrap/>
            <w:vAlign w:val="bottom"/>
            <w:hideMark/>
          </w:tcPr>
          <w:p w14:paraId="14C1BBF2"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&lt;50</w:t>
            </w:r>
          </w:p>
        </w:tc>
        <w:tc>
          <w:tcPr>
            <w:tcW w:w="1835" w:type="dxa"/>
            <w:tcBorders>
              <w:top w:val="nil"/>
              <w:left w:val="nil"/>
              <w:bottom w:val="nil"/>
              <w:right w:val="nil"/>
            </w:tcBorders>
            <w:shd w:val="clear" w:color="auto" w:fill="auto"/>
            <w:noWrap/>
          </w:tcPr>
          <w:p w14:paraId="6753E0B1"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12,5</w:t>
            </w:r>
          </w:p>
        </w:tc>
        <w:tc>
          <w:tcPr>
            <w:tcW w:w="1835" w:type="dxa"/>
            <w:tcBorders>
              <w:top w:val="nil"/>
              <w:left w:val="nil"/>
              <w:bottom w:val="nil"/>
              <w:right w:val="nil"/>
            </w:tcBorders>
            <w:shd w:val="clear" w:color="auto" w:fill="auto"/>
            <w:noWrap/>
          </w:tcPr>
          <w:p w14:paraId="17DFE5D5"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12,3</w:t>
            </w:r>
          </w:p>
        </w:tc>
        <w:tc>
          <w:tcPr>
            <w:tcW w:w="1378" w:type="dxa"/>
            <w:tcBorders>
              <w:top w:val="nil"/>
              <w:left w:val="nil"/>
              <w:bottom w:val="nil"/>
              <w:right w:val="nil"/>
            </w:tcBorders>
            <w:shd w:val="clear" w:color="auto" w:fill="auto"/>
            <w:noWrap/>
          </w:tcPr>
          <w:p w14:paraId="0380D5B4"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D10C2C">
              <w:rPr>
                <w:rFonts w:asciiTheme="majorHAnsi" w:eastAsia="Times New Roman" w:hAnsiTheme="majorHAnsi" w:cstheme="majorHAnsi"/>
                <w:bCs/>
                <w:color w:val="595959"/>
                <w:sz w:val="18"/>
                <w:szCs w:val="18"/>
                <w:lang w:eastAsia="el-GR"/>
              </w:rPr>
              <w:t>-0,2</w:t>
            </w:r>
          </w:p>
        </w:tc>
      </w:tr>
      <w:tr w:rsidR="005D3C5F" w:rsidRPr="001853D9" w14:paraId="4C9B4EDC" w14:textId="77777777" w:rsidTr="003F4366">
        <w:trPr>
          <w:trHeight w:val="218"/>
          <w:jc w:val="center"/>
        </w:trPr>
        <w:tc>
          <w:tcPr>
            <w:tcW w:w="1706" w:type="dxa"/>
            <w:tcBorders>
              <w:top w:val="nil"/>
              <w:left w:val="nil"/>
              <w:bottom w:val="nil"/>
              <w:right w:val="nil"/>
            </w:tcBorders>
            <w:shd w:val="clear" w:color="auto" w:fill="auto"/>
            <w:noWrap/>
            <w:vAlign w:val="bottom"/>
          </w:tcPr>
          <w:p w14:paraId="2445B24C"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50-500</w:t>
            </w:r>
          </w:p>
        </w:tc>
        <w:tc>
          <w:tcPr>
            <w:tcW w:w="1835" w:type="dxa"/>
            <w:tcBorders>
              <w:top w:val="nil"/>
              <w:left w:val="nil"/>
              <w:bottom w:val="nil"/>
              <w:right w:val="nil"/>
            </w:tcBorders>
            <w:shd w:val="clear" w:color="auto" w:fill="auto"/>
            <w:noWrap/>
          </w:tcPr>
          <w:p w14:paraId="20D5D2B2"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300,8</w:t>
            </w:r>
          </w:p>
        </w:tc>
        <w:tc>
          <w:tcPr>
            <w:tcW w:w="1835" w:type="dxa"/>
            <w:tcBorders>
              <w:top w:val="nil"/>
              <w:left w:val="nil"/>
              <w:bottom w:val="nil"/>
              <w:right w:val="nil"/>
            </w:tcBorders>
            <w:shd w:val="clear" w:color="auto" w:fill="auto"/>
            <w:noWrap/>
          </w:tcPr>
          <w:p w14:paraId="4600C7C6"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313,7</w:t>
            </w:r>
          </w:p>
        </w:tc>
        <w:tc>
          <w:tcPr>
            <w:tcW w:w="1378" w:type="dxa"/>
            <w:tcBorders>
              <w:top w:val="nil"/>
              <w:left w:val="nil"/>
              <w:bottom w:val="nil"/>
              <w:right w:val="nil"/>
            </w:tcBorders>
            <w:shd w:val="clear" w:color="auto" w:fill="auto"/>
            <w:noWrap/>
          </w:tcPr>
          <w:p w14:paraId="26FCD59A"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D10C2C">
              <w:rPr>
                <w:rFonts w:asciiTheme="majorHAnsi" w:eastAsia="Times New Roman" w:hAnsiTheme="majorHAnsi" w:cstheme="majorHAnsi"/>
                <w:bCs/>
                <w:color w:val="595959"/>
                <w:sz w:val="18"/>
                <w:szCs w:val="18"/>
                <w:lang w:eastAsia="el-GR"/>
              </w:rPr>
              <w:t>12,9</w:t>
            </w:r>
          </w:p>
        </w:tc>
      </w:tr>
      <w:tr w:rsidR="005D3C5F" w:rsidRPr="001853D9" w14:paraId="119097C7" w14:textId="77777777" w:rsidTr="003F4366">
        <w:trPr>
          <w:trHeight w:val="218"/>
          <w:jc w:val="center"/>
        </w:trPr>
        <w:tc>
          <w:tcPr>
            <w:tcW w:w="1706" w:type="dxa"/>
            <w:tcBorders>
              <w:top w:val="nil"/>
              <w:left w:val="nil"/>
              <w:bottom w:val="nil"/>
              <w:right w:val="nil"/>
            </w:tcBorders>
            <w:shd w:val="clear" w:color="auto" w:fill="auto"/>
            <w:noWrap/>
            <w:vAlign w:val="bottom"/>
            <w:hideMark/>
          </w:tcPr>
          <w:p w14:paraId="7D2D268F"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500-10.000</w:t>
            </w:r>
          </w:p>
        </w:tc>
        <w:tc>
          <w:tcPr>
            <w:tcW w:w="1835" w:type="dxa"/>
            <w:tcBorders>
              <w:top w:val="nil"/>
              <w:left w:val="nil"/>
              <w:bottom w:val="nil"/>
              <w:right w:val="nil"/>
            </w:tcBorders>
            <w:shd w:val="clear" w:color="auto" w:fill="auto"/>
            <w:noWrap/>
            <w:hideMark/>
          </w:tcPr>
          <w:p w14:paraId="482D3795"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3.661,7</w:t>
            </w:r>
          </w:p>
        </w:tc>
        <w:tc>
          <w:tcPr>
            <w:tcW w:w="1835" w:type="dxa"/>
            <w:tcBorders>
              <w:top w:val="nil"/>
              <w:left w:val="nil"/>
              <w:bottom w:val="nil"/>
              <w:right w:val="nil"/>
            </w:tcBorders>
            <w:shd w:val="clear" w:color="auto" w:fill="auto"/>
            <w:noWrap/>
            <w:hideMark/>
          </w:tcPr>
          <w:p w14:paraId="09BA1DE2"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3.673,7</w:t>
            </w:r>
          </w:p>
        </w:tc>
        <w:tc>
          <w:tcPr>
            <w:tcW w:w="1378" w:type="dxa"/>
            <w:tcBorders>
              <w:top w:val="nil"/>
              <w:left w:val="nil"/>
              <w:bottom w:val="nil"/>
              <w:right w:val="nil"/>
            </w:tcBorders>
            <w:shd w:val="clear" w:color="auto" w:fill="auto"/>
            <w:noWrap/>
            <w:hideMark/>
          </w:tcPr>
          <w:p w14:paraId="441916E8"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D10C2C">
              <w:rPr>
                <w:rFonts w:asciiTheme="majorHAnsi" w:eastAsia="Times New Roman" w:hAnsiTheme="majorHAnsi" w:cstheme="majorHAnsi"/>
                <w:bCs/>
                <w:color w:val="595959"/>
                <w:sz w:val="18"/>
                <w:szCs w:val="18"/>
                <w:lang w:eastAsia="el-GR"/>
              </w:rPr>
              <w:t>11,9</w:t>
            </w:r>
          </w:p>
        </w:tc>
      </w:tr>
      <w:tr w:rsidR="005D3C5F" w:rsidRPr="001853D9" w14:paraId="561362E4" w14:textId="77777777" w:rsidTr="003F4366">
        <w:trPr>
          <w:trHeight w:val="218"/>
          <w:jc w:val="center"/>
        </w:trPr>
        <w:tc>
          <w:tcPr>
            <w:tcW w:w="1706" w:type="dxa"/>
            <w:tcBorders>
              <w:top w:val="nil"/>
              <w:left w:val="nil"/>
              <w:bottom w:val="nil"/>
              <w:right w:val="nil"/>
            </w:tcBorders>
            <w:shd w:val="clear" w:color="auto" w:fill="auto"/>
            <w:noWrap/>
            <w:vAlign w:val="bottom"/>
            <w:hideMark/>
          </w:tcPr>
          <w:p w14:paraId="731B6A6F"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10.000-100.000</w:t>
            </w:r>
          </w:p>
        </w:tc>
        <w:tc>
          <w:tcPr>
            <w:tcW w:w="1835" w:type="dxa"/>
            <w:tcBorders>
              <w:top w:val="nil"/>
              <w:left w:val="nil"/>
              <w:bottom w:val="nil"/>
              <w:right w:val="nil"/>
            </w:tcBorders>
            <w:shd w:val="clear" w:color="auto" w:fill="auto"/>
            <w:noWrap/>
            <w:hideMark/>
          </w:tcPr>
          <w:p w14:paraId="7DCF068D"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7.505,6</w:t>
            </w:r>
          </w:p>
        </w:tc>
        <w:tc>
          <w:tcPr>
            <w:tcW w:w="1835" w:type="dxa"/>
            <w:tcBorders>
              <w:top w:val="nil"/>
              <w:left w:val="nil"/>
              <w:bottom w:val="nil"/>
              <w:right w:val="nil"/>
            </w:tcBorders>
            <w:shd w:val="clear" w:color="auto" w:fill="auto"/>
            <w:noWrap/>
            <w:hideMark/>
          </w:tcPr>
          <w:p w14:paraId="0A3B5486"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7.769,3</w:t>
            </w:r>
          </w:p>
        </w:tc>
        <w:tc>
          <w:tcPr>
            <w:tcW w:w="1378" w:type="dxa"/>
            <w:tcBorders>
              <w:top w:val="nil"/>
              <w:left w:val="nil"/>
              <w:bottom w:val="nil"/>
              <w:right w:val="nil"/>
            </w:tcBorders>
            <w:shd w:val="clear" w:color="auto" w:fill="auto"/>
            <w:noWrap/>
            <w:hideMark/>
          </w:tcPr>
          <w:p w14:paraId="2126518D"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D10C2C">
              <w:rPr>
                <w:rFonts w:asciiTheme="majorHAnsi" w:eastAsia="Times New Roman" w:hAnsiTheme="majorHAnsi" w:cstheme="majorHAnsi"/>
                <w:bCs/>
                <w:color w:val="595959"/>
                <w:sz w:val="18"/>
                <w:szCs w:val="18"/>
                <w:lang w:eastAsia="el-GR"/>
              </w:rPr>
              <w:t>263,7</w:t>
            </w:r>
          </w:p>
        </w:tc>
      </w:tr>
      <w:tr w:rsidR="005D3C5F" w:rsidRPr="001853D9" w14:paraId="1511E325" w14:textId="77777777" w:rsidTr="003F4366">
        <w:trPr>
          <w:trHeight w:val="218"/>
          <w:jc w:val="center"/>
        </w:trPr>
        <w:tc>
          <w:tcPr>
            <w:tcW w:w="1706" w:type="dxa"/>
            <w:tcBorders>
              <w:top w:val="nil"/>
              <w:left w:val="nil"/>
              <w:bottom w:val="nil"/>
              <w:right w:val="nil"/>
            </w:tcBorders>
            <w:shd w:val="clear" w:color="auto" w:fill="auto"/>
            <w:noWrap/>
            <w:vAlign w:val="bottom"/>
            <w:hideMark/>
          </w:tcPr>
          <w:p w14:paraId="40C5A868"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100.000-1.000.000</w:t>
            </w:r>
          </w:p>
        </w:tc>
        <w:tc>
          <w:tcPr>
            <w:tcW w:w="1835" w:type="dxa"/>
            <w:tcBorders>
              <w:top w:val="nil"/>
              <w:left w:val="nil"/>
              <w:bottom w:val="nil"/>
              <w:right w:val="nil"/>
            </w:tcBorders>
            <w:shd w:val="clear" w:color="auto" w:fill="auto"/>
            <w:noWrap/>
            <w:hideMark/>
          </w:tcPr>
          <w:p w14:paraId="79DA86FA"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10.356,5</w:t>
            </w:r>
          </w:p>
        </w:tc>
        <w:tc>
          <w:tcPr>
            <w:tcW w:w="1835" w:type="dxa"/>
            <w:tcBorders>
              <w:top w:val="nil"/>
              <w:left w:val="nil"/>
              <w:bottom w:val="nil"/>
              <w:right w:val="nil"/>
            </w:tcBorders>
            <w:shd w:val="clear" w:color="auto" w:fill="auto"/>
            <w:noWrap/>
            <w:hideMark/>
          </w:tcPr>
          <w:p w14:paraId="4F7925EC"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10.885,0</w:t>
            </w:r>
          </w:p>
        </w:tc>
        <w:tc>
          <w:tcPr>
            <w:tcW w:w="1378" w:type="dxa"/>
            <w:tcBorders>
              <w:top w:val="nil"/>
              <w:left w:val="nil"/>
              <w:bottom w:val="nil"/>
              <w:right w:val="nil"/>
            </w:tcBorders>
            <w:shd w:val="clear" w:color="auto" w:fill="auto"/>
            <w:noWrap/>
            <w:hideMark/>
          </w:tcPr>
          <w:p w14:paraId="75B0A75F"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D10C2C">
              <w:rPr>
                <w:rFonts w:asciiTheme="majorHAnsi" w:eastAsia="Times New Roman" w:hAnsiTheme="majorHAnsi" w:cstheme="majorHAnsi"/>
                <w:bCs/>
                <w:color w:val="595959"/>
                <w:sz w:val="18"/>
                <w:szCs w:val="18"/>
                <w:lang w:eastAsia="el-GR"/>
              </w:rPr>
              <w:t>528,4</w:t>
            </w:r>
          </w:p>
        </w:tc>
      </w:tr>
      <w:tr w:rsidR="005D3C5F" w:rsidRPr="001853D9" w14:paraId="475F9ADE" w14:textId="77777777" w:rsidTr="003F4366">
        <w:trPr>
          <w:trHeight w:val="218"/>
          <w:jc w:val="center"/>
        </w:trPr>
        <w:tc>
          <w:tcPr>
            <w:tcW w:w="1706" w:type="dxa"/>
            <w:tcBorders>
              <w:top w:val="nil"/>
              <w:left w:val="nil"/>
              <w:right w:val="nil"/>
            </w:tcBorders>
            <w:shd w:val="clear" w:color="auto" w:fill="auto"/>
            <w:noWrap/>
            <w:vAlign w:val="bottom"/>
            <w:hideMark/>
          </w:tcPr>
          <w:p w14:paraId="6A43D130"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&gt;1.000.000</w:t>
            </w:r>
          </w:p>
        </w:tc>
        <w:tc>
          <w:tcPr>
            <w:tcW w:w="1835" w:type="dxa"/>
            <w:tcBorders>
              <w:top w:val="nil"/>
              <w:left w:val="nil"/>
              <w:right w:val="nil"/>
            </w:tcBorders>
            <w:shd w:val="clear" w:color="auto" w:fill="auto"/>
            <w:noWrap/>
            <w:hideMark/>
          </w:tcPr>
          <w:p w14:paraId="46BD1AF8"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86.992,8</w:t>
            </w:r>
          </w:p>
        </w:tc>
        <w:tc>
          <w:tcPr>
            <w:tcW w:w="1835" w:type="dxa"/>
            <w:tcBorders>
              <w:top w:val="nil"/>
              <w:left w:val="nil"/>
              <w:bottom w:val="nil"/>
              <w:right w:val="nil"/>
            </w:tcBorders>
            <w:shd w:val="clear" w:color="auto" w:fill="auto"/>
            <w:noWrap/>
            <w:hideMark/>
          </w:tcPr>
          <w:p w14:paraId="5FC07196"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66D08">
              <w:rPr>
                <w:rFonts w:asciiTheme="majorHAnsi" w:eastAsia="Times New Roman" w:hAnsiTheme="majorHAnsi" w:cstheme="majorHAnsi"/>
                <w:bCs/>
                <w:color w:val="595959"/>
                <w:sz w:val="18"/>
                <w:szCs w:val="18"/>
                <w:lang w:eastAsia="el-GR"/>
              </w:rPr>
              <w:t>90.305,6</w:t>
            </w:r>
          </w:p>
        </w:tc>
        <w:tc>
          <w:tcPr>
            <w:tcW w:w="1378" w:type="dxa"/>
            <w:tcBorders>
              <w:top w:val="nil"/>
              <w:left w:val="nil"/>
              <w:right w:val="nil"/>
            </w:tcBorders>
            <w:shd w:val="clear" w:color="auto" w:fill="auto"/>
            <w:noWrap/>
            <w:hideMark/>
          </w:tcPr>
          <w:p w14:paraId="74D26AFE" w14:textId="77777777" w:rsidR="005D3C5F" w:rsidRPr="00C73655"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D10C2C">
              <w:rPr>
                <w:rFonts w:asciiTheme="majorHAnsi" w:eastAsia="Times New Roman" w:hAnsiTheme="majorHAnsi" w:cstheme="majorHAnsi"/>
                <w:bCs/>
                <w:color w:val="595959"/>
                <w:sz w:val="18"/>
                <w:szCs w:val="18"/>
                <w:lang w:eastAsia="el-GR"/>
              </w:rPr>
              <w:t>3.312,8</w:t>
            </w:r>
          </w:p>
        </w:tc>
      </w:tr>
      <w:tr w:rsidR="005D3C5F" w:rsidRPr="001853D9" w14:paraId="5CB244D7" w14:textId="77777777" w:rsidTr="003F4366">
        <w:trPr>
          <w:trHeight w:val="218"/>
          <w:jc w:val="center"/>
        </w:trPr>
        <w:tc>
          <w:tcPr>
            <w:tcW w:w="1706" w:type="dxa"/>
            <w:tcBorders>
              <w:top w:val="nil"/>
              <w:left w:val="nil"/>
              <w:bottom w:val="single" w:sz="4" w:space="0" w:color="auto"/>
              <w:right w:val="nil"/>
            </w:tcBorders>
            <w:shd w:val="clear" w:color="auto" w:fill="auto"/>
            <w:noWrap/>
            <w:vAlign w:val="bottom"/>
            <w:hideMark/>
          </w:tcPr>
          <w:p w14:paraId="39C51595" w14:textId="77777777" w:rsidR="005D3C5F" w:rsidRPr="001853D9" w:rsidRDefault="005D3C5F" w:rsidP="003F4366">
            <w:pPr>
              <w:spacing w:after="0" w:line="276" w:lineRule="auto"/>
              <w:rPr>
                <w:rFonts w:asciiTheme="majorHAnsi" w:eastAsia="Times New Roman" w:hAnsiTheme="majorHAnsi" w:cstheme="majorHAnsi"/>
                <w:b/>
                <w:bCs/>
                <w:color w:val="595959"/>
                <w:sz w:val="18"/>
                <w:szCs w:val="18"/>
                <w:lang w:eastAsia="el-GR"/>
              </w:rPr>
            </w:pPr>
            <w:r w:rsidRPr="001853D9">
              <w:rPr>
                <w:rFonts w:asciiTheme="majorHAnsi" w:eastAsia="Times New Roman" w:hAnsiTheme="majorHAnsi" w:cstheme="majorHAnsi"/>
                <w:b/>
                <w:bCs/>
                <w:color w:val="595959"/>
                <w:sz w:val="18"/>
                <w:szCs w:val="18"/>
                <w:lang w:eastAsia="el-GR"/>
              </w:rPr>
              <w:t>Σύνολο</w:t>
            </w:r>
          </w:p>
        </w:tc>
        <w:tc>
          <w:tcPr>
            <w:tcW w:w="1835" w:type="dxa"/>
            <w:tcBorders>
              <w:top w:val="nil"/>
              <w:left w:val="nil"/>
              <w:bottom w:val="single" w:sz="4" w:space="0" w:color="auto"/>
              <w:right w:val="nil"/>
            </w:tcBorders>
            <w:shd w:val="clear" w:color="auto" w:fill="auto"/>
            <w:noWrap/>
            <w:hideMark/>
          </w:tcPr>
          <w:p w14:paraId="58D9D449" w14:textId="77777777" w:rsidR="005D3C5F" w:rsidRPr="00166D08" w:rsidRDefault="005D3C5F" w:rsidP="003F4366">
            <w:pPr>
              <w:spacing w:after="0" w:line="276" w:lineRule="auto"/>
              <w:jc w:val="center"/>
              <w:rPr>
                <w:rFonts w:asciiTheme="majorHAnsi" w:eastAsia="Times New Roman" w:hAnsiTheme="majorHAnsi" w:cstheme="majorHAnsi"/>
                <w:b/>
                <w:bCs/>
                <w:color w:val="595959"/>
                <w:sz w:val="18"/>
                <w:szCs w:val="18"/>
                <w:lang w:eastAsia="el-GR"/>
              </w:rPr>
            </w:pPr>
            <w:r w:rsidRPr="00166D08">
              <w:rPr>
                <w:rFonts w:asciiTheme="majorHAnsi" w:eastAsia="Times New Roman" w:hAnsiTheme="majorHAnsi" w:cstheme="majorHAnsi"/>
                <w:b/>
                <w:bCs/>
                <w:color w:val="595959"/>
                <w:sz w:val="18"/>
                <w:szCs w:val="18"/>
                <w:lang w:eastAsia="el-GR"/>
              </w:rPr>
              <w:t>108.829,9</w:t>
            </w:r>
          </w:p>
        </w:tc>
        <w:tc>
          <w:tcPr>
            <w:tcW w:w="1835" w:type="dxa"/>
            <w:tcBorders>
              <w:top w:val="nil"/>
              <w:left w:val="nil"/>
              <w:bottom w:val="nil"/>
              <w:right w:val="nil"/>
            </w:tcBorders>
            <w:shd w:val="clear" w:color="auto" w:fill="auto"/>
            <w:noWrap/>
            <w:hideMark/>
          </w:tcPr>
          <w:p w14:paraId="37B1E896" w14:textId="77777777" w:rsidR="005D3C5F" w:rsidRPr="00166D08" w:rsidRDefault="005D3C5F" w:rsidP="003F4366">
            <w:pPr>
              <w:spacing w:after="0" w:line="276" w:lineRule="auto"/>
              <w:jc w:val="center"/>
              <w:rPr>
                <w:rFonts w:asciiTheme="majorHAnsi" w:eastAsia="Times New Roman" w:hAnsiTheme="majorHAnsi" w:cstheme="majorHAnsi"/>
                <w:b/>
                <w:bCs/>
                <w:color w:val="595959"/>
                <w:sz w:val="18"/>
                <w:szCs w:val="18"/>
                <w:lang w:eastAsia="el-GR"/>
              </w:rPr>
            </w:pPr>
            <w:r w:rsidRPr="00166D08">
              <w:rPr>
                <w:rFonts w:asciiTheme="majorHAnsi" w:eastAsia="Times New Roman" w:hAnsiTheme="majorHAnsi" w:cstheme="majorHAnsi"/>
                <w:b/>
                <w:bCs/>
                <w:color w:val="595959"/>
                <w:sz w:val="18"/>
                <w:szCs w:val="18"/>
                <w:lang w:eastAsia="el-GR"/>
              </w:rPr>
              <w:t>112.959,4</w:t>
            </w:r>
          </w:p>
        </w:tc>
        <w:tc>
          <w:tcPr>
            <w:tcW w:w="1378" w:type="dxa"/>
            <w:tcBorders>
              <w:top w:val="nil"/>
              <w:left w:val="nil"/>
              <w:bottom w:val="single" w:sz="4" w:space="0" w:color="auto"/>
              <w:right w:val="nil"/>
            </w:tcBorders>
            <w:shd w:val="clear" w:color="auto" w:fill="auto"/>
            <w:noWrap/>
            <w:hideMark/>
          </w:tcPr>
          <w:p w14:paraId="3F3483D4" w14:textId="77777777" w:rsidR="005D3C5F" w:rsidRPr="00D10C2C" w:rsidRDefault="005D3C5F" w:rsidP="003F4366">
            <w:pPr>
              <w:spacing w:after="0" w:line="276" w:lineRule="auto"/>
              <w:jc w:val="center"/>
              <w:rPr>
                <w:rFonts w:asciiTheme="majorHAnsi" w:eastAsia="Times New Roman" w:hAnsiTheme="majorHAnsi" w:cstheme="majorHAnsi"/>
                <w:b/>
                <w:bCs/>
                <w:color w:val="595959"/>
                <w:sz w:val="18"/>
                <w:szCs w:val="18"/>
                <w:lang w:eastAsia="el-GR"/>
              </w:rPr>
            </w:pPr>
            <w:r w:rsidRPr="00D10C2C">
              <w:rPr>
                <w:rFonts w:asciiTheme="majorHAnsi" w:eastAsia="Times New Roman" w:hAnsiTheme="majorHAnsi" w:cstheme="majorHAnsi"/>
                <w:b/>
                <w:bCs/>
                <w:color w:val="595959"/>
                <w:sz w:val="18"/>
                <w:szCs w:val="18"/>
                <w:lang w:eastAsia="el-GR"/>
              </w:rPr>
              <w:t>4.129,6</w:t>
            </w:r>
          </w:p>
        </w:tc>
      </w:tr>
      <w:tr w:rsidR="005D3C5F" w:rsidRPr="001853D9" w14:paraId="53A2EA0A" w14:textId="77777777" w:rsidTr="003F4366">
        <w:trPr>
          <w:trHeight w:val="218"/>
          <w:jc w:val="center"/>
        </w:trPr>
        <w:tc>
          <w:tcPr>
            <w:tcW w:w="1706" w:type="dxa"/>
            <w:tcBorders>
              <w:top w:val="single" w:sz="4" w:space="0" w:color="auto"/>
              <w:left w:val="nil"/>
              <w:right w:val="nil"/>
            </w:tcBorders>
            <w:shd w:val="clear" w:color="auto" w:fill="auto"/>
            <w:noWrap/>
            <w:vAlign w:val="bottom"/>
          </w:tcPr>
          <w:p w14:paraId="3E07CA5E" w14:textId="77777777" w:rsidR="005D3C5F" w:rsidRPr="001853D9" w:rsidRDefault="005D3C5F" w:rsidP="003F4366">
            <w:pPr>
              <w:spacing w:after="0" w:line="276" w:lineRule="auto"/>
              <w:rPr>
                <w:rFonts w:asciiTheme="majorHAnsi" w:eastAsia="Times New Roman" w:hAnsiTheme="majorHAnsi" w:cstheme="majorHAnsi"/>
                <w:bCs/>
                <w:color w:val="595959"/>
                <w:sz w:val="16"/>
                <w:szCs w:val="16"/>
                <w:lang w:eastAsia="el-GR"/>
              </w:rPr>
            </w:pPr>
            <w:r w:rsidRPr="001853D9">
              <w:rPr>
                <w:rFonts w:asciiTheme="majorHAnsi" w:eastAsia="Times New Roman" w:hAnsiTheme="majorHAnsi" w:cstheme="majorHAnsi"/>
                <w:bCs/>
                <w:color w:val="595959"/>
                <w:sz w:val="16"/>
                <w:szCs w:val="16"/>
                <w:lang w:eastAsia="el-GR"/>
              </w:rPr>
              <w:t>Πηγή: ΑΑΔΕ</w:t>
            </w:r>
          </w:p>
        </w:tc>
        <w:tc>
          <w:tcPr>
            <w:tcW w:w="1835" w:type="dxa"/>
            <w:tcBorders>
              <w:top w:val="single" w:sz="4" w:space="0" w:color="auto"/>
              <w:left w:val="nil"/>
              <w:right w:val="nil"/>
            </w:tcBorders>
            <w:shd w:val="clear" w:color="auto" w:fill="auto"/>
            <w:noWrap/>
            <w:vAlign w:val="bottom"/>
          </w:tcPr>
          <w:p w14:paraId="4BEB3EF5"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p>
        </w:tc>
        <w:tc>
          <w:tcPr>
            <w:tcW w:w="1835" w:type="dxa"/>
            <w:tcBorders>
              <w:top w:val="single" w:sz="4" w:space="0" w:color="auto"/>
              <w:left w:val="nil"/>
              <w:right w:val="nil"/>
            </w:tcBorders>
            <w:shd w:val="clear" w:color="auto" w:fill="auto"/>
            <w:noWrap/>
            <w:vAlign w:val="bottom"/>
          </w:tcPr>
          <w:p w14:paraId="1ADB096F"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p>
        </w:tc>
        <w:tc>
          <w:tcPr>
            <w:tcW w:w="1378" w:type="dxa"/>
            <w:tcBorders>
              <w:top w:val="single" w:sz="4" w:space="0" w:color="auto"/>
              <w:left w:val="nil"/>
              <w:right w:val="nil"/>
            </w:tcBorders>
            <w:shd w:val="clear" w:color="auto" w:fill="auto"/>
            <w:noWrap/>
            <w:vAlign w:val="bottom"/>
          </w:tcPr>
          <w:p w14:paraId="6005A54A"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p>
        </w:tc>
      </w:tr>
    </w:tbl>
    <w:p w14:paraId="2BF95986" w14:textId="77777777" w:rsidR="005D3C5F" w:rsidRDefault="005D3C5F" w:rsidP="005D3C5F">
      <w:pPr>
        <w:spacing w:after="0" w:line="276" w:lineRule="auto"/>
        <w:jc w:val="both"/>
        <w:rPr>
          <w:rFonts w:asciiTheme="majorHAnsi" w:eastAsia="Calibri" w:hAnsiTheme="majorHAnsi" w:cstheme="majorHAnsi"/>
          <w:color w:val="595959"/>
        </w:rPr>
      </w:pPr>
    </w:p>
    <w:p w14:paraId="17EC45FE" w14:textId="77777777" w:rsidR="005D3C5F" w:rsidRPr="001853D9" w:rsidRDefault="005D3C5F" w:rsidP="005D3C5F">
      <w:pPr>
        <w:pStyle w:val="Heading3"/>
        <w:spacing w:before="0"/>
        <w:rPr>
          <w:rFonts w:cstheme="majorHAnsi"/>
        </w:rPr>
      </w:pPr>
      <w:bookmarkStart w:id="131" w:name="_Toc82689375"/>
      <w:bookmarkStart w:id="132" w:name="_Toc82713973"/>
      <w:bookmarkStart w:id="133" w:name="_Toc82714707"/>
      <w:bookmarkStart w:id="134" w:name="_Toc82752952"/>
      <w:bookmarkStart w:id="135" w:name="_Toc82784607"/>
      <w:bookmarkStart w:id="136" w:name="_Toc98160533"/>
      <w:r w:rsidRPr="001853D9">
        <w:rPr>
          <w:rFonts w:cstheme="majorHAnsi"/>
        </w:rPr>
        <w:t>Ληξιπρόθεσμες υποχρεώσεις ασφαλισμένων</w:t>
      </w:r>
      <w:bookmarkEnd w:id="131"/>
      <w:bookmarkEnd w:id="132"/>
      <w:bookmarkEnd w:id="133"/>
      <w:bookmarkEnd w:id="134"/>
      <w:bookmarkEnd w:id="135"/>
      <w:bookmarkEnd w:id="136"/>
    </w:p>
    <w:p w14:paraId="5E45F2B8" w14:textId="77777777" w:rsidR="005D3C5F" w:rsidRPr="001853D9" w:rsidRDefault="005D3C5F" w:rsidP="005D3C5F">
      <w:pPr>
        <w:spacing w:after="0" w:line="276" w:lineRule="auto"/>
        <w:jc w:val="both"/>
        <w:rPr>
          <w:rFonts w:asciiTheme="majorHAnsi" w:hAnsiTheme="majorHAnsi" w:cstheme="majorHAnsi"/>
        </w:rPr>
      </w:pPr>
    </w:p>
    <w:p w14:paraId="3C7D67B1" w14:textId="77777777" w:rsidR="005D3C5F" w:rsidRPr="001853D9" w:rsidRDefault="005D3C5F" w:rsidP="005D3C5F">
      <w:pPr>
        <w:autoSpaceDE w:val="0"/>
        <w:autoSpaceDN w:val="0"/>
        <w:adjustRightInd w:val="0"/>
        <w:spacing w:after="240" w:line="276" w:lineRule="auto"/>
        <w:jc w:val="both"/>
        <w:rPr>
          <w:rFonts w:asciiTheme="majorHAnsi" w:eastAsia="Calibri" w:hAnsiTheme="majorHAnsi" w:cstheme="majorHAnsi"/>
          <w:color w:val="595959"/>
        </w:rPr>
      </w:pPr>
      <w:r w:rsidRPr="001853D9">
        <w:rPr>
          <w:rFonts w:asciiTheme="majorHAnsi" w:eastAsia="Calibri" w:hAnsiTheme="majorHAnsi" w:cstheme="majorHAnsi"/>
          <w:color w:val="595959"/>
        </w:rPr>
        <w:t xml:space="preserve">Σύμφωνα με την </w:t>
      </w:r>
      <w:hyperlink r:id="rId60" w:history="1">
        <w:r>
          <w:rPr>
            <w:rFonts w:asciiTheme="majorHAnsi" w:hAnsiTheme="majorHAnsi" w:cstheme="majorHAnsi"/>
            <w:color w:val="595959"/>
            <w:u w:val="single"/>
          </w:rPr>
          <w:t>4</w:t>
        </w:r>
        <w:r w:rsidRPr="001853D9">
          <w:rPr>
            <w:rFonts w:asciiTheme="majorHAnsi" w:hAnsiTheme="majorHAnsi" w:cstheme="majorHAnsi"/>
            <w:color w:val="595959"/>
            <w:u w:val="single"/>
            <w:vertAlign w:val="superscript"/>
          </w:rPr>
          <w:t>η</w:t>
        </w:r>
        <w:r w:rsidRPr="001853D9">
          <w:rPr>
            <w:rFonts w:asciiTheme="majorHAnsi" w:hAnsiTheme="majorHAnsi" w:cstheme="majorHAnsi"/>
            <w:color w:val="595959"/>
            <w:u w:val="single"/>
          </w:rPr>
          <w:t xml:space="preserve"> Τριμηνιαία Έκθεση</w:t>
        </w:r>
      </w:hyperlink>
      <w:r w:rsidRPr="001853D9">
        <w:rPr>
          <w:rFonts w:asciiTheme="majorHAnsi" w:eastAsia="Calibri" w:hAnsiTheme="majorHAnsi" w:cstheme="majorHAnsi"/>
          <w:color w:val="595959"/>
        </w:rPr>
        <w:t xml:space="preserve"> Προόδου Έτους 2021 του ΚΕΑΟ, το σύνολο των ληξιπρόθεσμων ασφαλιστικών οφειλών στο τέλος του 2021 διαμορφώθηκε στα </w:t>
      </w:r>
      <w:r>
        <w:rPr>
          <w:rFonts w:asciiTheme="majorHAnsi" w:eastAsia="Calibri" w:hAnsiTheme="majorHAnsi" w:cstheme="majorHAnsi"/>
          <w:color w:val="595959"/>
        </w:rPr>
        <w:t>41</w:t>
      </w:r>
      <w:r w:rsidRPr="001853D9">
        <w:rPr>
          <w:rFonts w:asciiTheme="majorHAnsi" w:eastAsia="Calibri" w:hAnsiTheme="majorHAnsi" w:cstheme="majorHAnsi"/>
          <w:color w:val="595959"/>
        </w:rPr>
        <w:t xml:space="preserve"> δις ευρώ</w:t>
      </w:r>
      <w:r w:rsidRPr="001853D9">
        <w:rPr>
          <w:rFonts w:asciiTheme="majorHAnsi" w:eastAsia="Calibri" w:hAnsiTheme="majorHAnsi" w:cstheme="majorHAnsi"/>
          <w:color w:val="595959"/>
          <w:vertAlign w:val="superscript"/>
        </w:rPr>
        <w:footnoteReference w:id="9"/>
      </w:r>
      <w:r w:rsidRPr="001853D9">
        <w:rPr>
          <w:rFonts w:asciiTheme="majorHAnsi" w:eastAsia="Calibri" w:hAnsiTheme="majorHAnsi" w:cstheme="majorHAnsi"/>
          <w:color w:val="595959"/>
        </w:rPr>
        <w:t xml:space="preserve">, </w:t>
      </w:r>
      <w:r w:rsidRPr="0076124D">
        <w:rPr>
          <w:rFonts w:asciiTheme="majorHAnsi" w:eastAsia="Calibri" w:hAnsiTheme="majorHAnsi" w:cstheme="majorHAnsi"/>
          <w:color w:val="595959"/>
        </w:rPr>
        <w:t>δηλαδή παρουσίασε αύξηση κατά 2</w:t>
      </w:r>
      <w:r>
        <w:rPr>
          <w:rFonts w:asciiTheme="majorHAnsi" w:eastAsia="Calibri" w:hAnsiTheme="majorHAnsi" w:cstheme="majorHAnsi"/>
          <w:color w:val="595959"/>
        </w:rPr>
        <w:t>,</w:t>
      </w:r>
      <w:r w:rsidRPr="0076124D">
        <w:rPr>
          <w:rFonts w:asciiTheme="majorHAnsi" w:eastAsia="Calibri" w:hAnsiTheme="majorHAnsi" w:cstheme="majorHAnsi"/>
          <w:color w:val="595959"/>
        </w:rPr>
        <w:t>2 δις ευρώ σε σχέση με το προηγούμενο τρίμηνο. Η αύξηση αυτή προέρχεται τόσο από την αύξηση των κύριων οφειλών (κατά 1</w:t>
      </w:r>
      <w:r>
        <w:rPr>
          <w:rFonts w:asciiTheme="majorHAnsi" w:eastAsia="Calibri" w:hAnsiTheme="majorHAnsi" w:cstheme="majorHAnsi"/>
          <w:color w:val="595959"/>
        </w:rPr>
        <w:t>,7</w:t>
      </w:r>
      <w:r w:rsidRPr="0076124D">
        <w:rPr>
          <w:rFonts w:asciiTheme="majorHAnsi" w:eastAsia="Calibri" w:hAnsiTheme="majorHAnsi" w:cstheme="majorHAnsi"/>
          <w:color w:val="595959"/>
        </w:rPr>
        <w:t xml:space="preserve"> δις ευρώ), όσο και των πρόσθετων τελών (κατά 486,8 εκατ. ευρώ).</w:t>
      </w:r>
    </w:p>
    <w:p w14:paraId="31FFCBE4" w14:textId="77777777" w:rsidR="005D3C5F" w:rsidRPr="00F111D3" w:rsidRDefault="005D3C5F" w:rsidP="005D3C5F">
      <w:pPr>
        <w:autoSpaceDE w:val="0"/>
        <w:autoSpaceDN w:val="0"/>
        <w:adjustRightInd w:val="0"/>
        <w:spacing w:after="240" w:line="276" w:lineRule="auto"/>
        <w:jc w:val="both"/>
        <w:rPr>
          <w:rFonts w:asciiTheme="majorHAnsi" w:eastAsia="Calibri" w:hAnsiTheme="majorHAnsi" w:cstheme="majorHAnsi"/>
          <w:color w:val="595959"/>
        </w:rPr>
      </w:pPr>
      <w:r w:rsidRPr="001853D9">
        <w:rPr>
          <w:rFonts w:asciiTheme="majorHAnsi" w:eastAsia="Calibri" w:hAnsiTheme="majorHAnsi" w:cstheme="majorHAnsi"/>
          <w:color w:val="595959"/>
        </w:rPr>
        <w:t xml:space="preserve">Σε ετήσια βάση, </w:t>
      </w:r>
      <w:r>
        <w:rPr>
          <w:rFonts w:asciiTheme="majorHAnsi" w:eastAsia="Calibri" w:hAnsiTheme="majorHAnsi" w:cstheme="majorHAnsi"/>
          <w:color w:val="595959"/>
        </w:rPr>
        <w:t>αύξηση</w:t>
      </w:r>
      <w:r w:rsidRPr="001853D9">
        <w:rPr>
          <w:rFonts w:asciiTheme="majorHAnsi" w:eastAsia="Calibri" w:hAnsiTheme="majorHAnsi" w:cstheme="majorHAnsi"/>
          <w:color w:val="595959"/>
        </w:rPr>
        <w:t xml:space="preserve"> παρουσίασε ο αριθμός των μητρώων των οφειλετών κατά </w:t>
      </w:r>
      <w:r>
        <w:rPr>
          <w:rFonts w:asciiTheme="majorHAnsi" w:eastAsia="Calibri" w:hAnsiTheme="majorHAnsi" w:cstheme="majorHAnsi"/>
          <w:color w:val="595959"/>
        </w:rPr>
        <w:t>350.618</w:t>
      </w:r>
      <w:r w:rsidRPr="001853D9">
        <w:rPr>
          <w:rFonts w:asciiTheme="majorHAnsi" w:eastAsia="Calibri" w:hAnsiTheme="majorHAnsi" w:cstheme="majorHAnsi"/>
          <w:color w:val="595959"/>
        </w:rPr>
        <w:t xml:space="preserve">, με αποτέλεσμα ο συνολικός αριθμός των μητρώων με οφειλές σε ασφαλιστικά ταμεία να διαμορφώνεται στο τέλος του </w:t>
      </w:r>
      <w:r>
        <w:rPr>
          <w:rFonts w:asciiTheme="majorHAnsi" w:eastAsia="Calibri" w:hAnsiTheme="majorHAnsi" w:cstheme="majorHAnsi"/>
          <w:color w:val="595959"/>
        </w:rPr>
        <w:t>τέταρτου</w:t>
      </w:r>
      <w:r w:rsidRPr="001853D9">
        <w:rPr>
          <w:rFonts w:asciiTheme="majorHAnsi" w:eastAsia="Calibri" w:hAnsiTheme="majorHAnsi" w:cstheme="majorHAnsi"/>
          <w:color w:val="595959"/>
        </w:rPr>
        <w:t xml:space="preserve"> τριμήνου του 2021 σε </w:t>
      </w:r>
      <w:r>
        <w:rPr>
          <w:rFonts w:asciiTheme="majorHAnsi" w:eastAsia="Calibri" w:hAnsiTheme="majorHAnsi" w:cstheme="majorHAnsi"/>
          <w:color w:val="595959"/>
        </w:rPr>
        <w:t>2.364.518</w:t>
      </w:r>
      <w:r w:rsidRPr="001853D9">
        <w:rPr>
          <w:rFonts w:asciiTheme="majorHAnsi" w:eastAsia="Calibri" w:hAnsiTheme="majorHAnsi" w:cstheme="majorHAnsi"/>
          <w:color w:val="595959"/>
        </w:rPr>
        <w:t xml:space="preserve"> μητρώα. </w:t>
      </w:r>
      <w:r>
        <w:rPr>
          <w:rFonts w:asciiTheme="majorHAnsi" w:eastAsia="Calibri" w:hAnsiTheme="majorHAnsi" w:cstheme="majorHAnsi"/>
          <w:color w:val="595959"/>
        </w:rPr>
        <w:t xml:space="preserve">Αύξηση του αριθμού των μητρώων παρουσιάζεται σε όλες τις κατηγορίες οφειλής, με την μεγαλύτερη να σημειώνεται στις οφειλές μεταξύ </w:t>
      </w:r>
      <w:r w:rsidRPr="00C84D0C">
        <w:rPr>
          <w:rFonts w:asciiTheme="majorHAnsi" w:eastAsia="Calibri" w:hAnsiTheme="majorHAnsi" w:cstheme="majorHAnsi"/>
          <w:color w:val="595959"/>
        </w:rPr>
        <w:t xml:space="preserve">50 και 500 ευρώ (κατά 131.103 μητρώα). </w:t>
      </w:r>
    </w:p>
    <w:p w14:paraId="3D3DB475" w14:textId="77777777" w:rsidR="005D3C5F" w:rsidRDefault="005D3C5F" w:rsidP="00CD21B2">
      <w:pPr>
        <w:autoSpaceDE w:val="0"/>
        <w:autoSpaceDN w:val="0"/>
        <w:adjustRightInd w:val="0"/>
        <w:spacing w:after="0" w:line="276" w:lineRule="auto"/>
        <w:jc w:val="both"/>
        <w:rPr>
          <w:rFonts w:asciiTheme="majorHAnsi" w:eastAsia="Calibri" w:hAnsiTheme="majorHAnsi" w:cstheme="majorHAnsi"/>
          <w:color w:val="595959"/>
        </w:rPr>
      </w:pPr>
      <w:r w:rsidRPr="00C00281">
        <w:rPr>
          <w:rFonts w:asciiTheme="majorHAnsi" w:eastAsia="Calibri" w:hAnsiTheme="majorHAnsi" w:cstheme="majorHAnsi"/>
          <w:color w:val="595959"/>
        </w:rPr>
        <w:t xml:space="preserve">Επιπλέον, αύξηση παρατηρείται στις συνολικές οφειλές κατά περίπου 3,5 δις ευρώ σε σχέση με την αντίστοιχη περίοδο του προηγούμενου έτους, η οποία οφείλεται τόσο σε αύξηση των κύριων οφειλών (κατά 1,9 δις ευρώ), όσο και των πρόσθετων τελών (αύξηση κατά 1,6 δις ευρώ). Αναλυτικότερα, </w:t>
      </w:r>
      <w:r w:rsidRPr="00CA1279">
        <w:rPr>
          <w:rFonts w:asciiTheme="majorHAnsi" w:eastAsia="Calibri" w:hAnsiTheme="majorHAnsi" w:cstheme="majorHAnsi"/>
          <w:color w:val="595959"/>
        </w:rPr>
        <w:t xml:space="preserve">αύξηση σημειώνεται </w:t>
      </w:r>
      <w:r>
        <w:rPr>
          <w:rFonts w:asciiTheme="majorHAnsi" w:eastAsia="Calibri" w:hAnsiTheme="majorHAnsi" w:cstheme="majorHAnsi"/>
          <w:color w:val="595959"/>
        </w:rPr>
        <w:t>σε όλες τις</w:t>
      </w:r>
      <w:r w:rsidRPr="00CA1279">
        <w:rPr>
          <w:rFonts w:asciiTheme="majorHAnsi" w:eastAsia="Calibri" w:hAnsiTheme="majorHAnsi" w:cstheme="majorHAnsi"/>
          <w:color w:val="595959"/>
        </w:rPr>
        <w:t xml:space="preserve"> κατηγορίες οφειλής με τη μεγαλύτερη </w:t>
      </w:r>
      <w:r w:rsidRPr="00C00281">
        <w:rPr>
          <w:rFonts w:asciiTheme="majorHAnsi" w:eastAsia="Calibri" w:hAnsiTheme="majorHAnsi" w:cstheme="majorHAnsi"/>
          <w:color w:val="595959"/>
        </w:rPr>
        <w:t>(κατά 1 δις ευρώ)</w:t>
      </w:r>
      <w:r>
        <w:rPr>
          <w:rFonts w:asciiTheme="majorHAnsi" w:eastAsia="Calibri" w:hAnsiTheme="majorHAnsi" w:cstheme="majorHAnsi"/>
          <w:color w:val="595959"/>
        </w:rPr>
        <w:t xml:space="preserve"> </w:t>
      </w:r>
      <w:r w:rsidRPr="00CA1279">
        <w:rPr>
          <w:rFonts w:asciiTheme="majorHAnsi" w:eastAsia="Calibri" w:hAnsiTheme="majorHAnsi" w:cstheme="majorHAnsi"/>
          <w:color w:val="595959"/>
        </w:rPr>
        <w:t xml:space="preserve">να εντοπίζεται στο εύρος οφειλής </w:t>
      </w:r>
      <w:r w:rsidRPr="00C00281">
        <w:rPr>
          <w:rFonts w:asciiTheme="majorHAnsi" w:eastAsia="Calibri" w:hAnsiTheme="majorHAnsi" w:cstheme="majorHAnsi"/>
          <w:color w:val="595959"/>
        </w:rPr>
        <w:t xml:space="preserve">μεταξύ 10.000 και 100.000 ευρώ, στην οποία </w:t>
      </w:r>
      <w:r w:rsidRPr="00CA1279">
        <w:rPr>
          <w:rFonts w:asciiTheme="majorHAnsi" w:eastAsia="Calibri" w:hAnsiTheme="majorHAnsi" w:cstheme="majorHAnsi"/>
          <w:color w:val="595959"/>
        </w:rPr>
        <w:t>συσσωρεύεται το 44,7</w:t>
      </w:r>
      <w:r>
        <w:rPr>
          <w:rFonts w:asciiTheme="majorHAnsi" w:eastAsia="Calibri" w:hAnsiTheme="majorHAnsi" w:cstheme="majorHAnsi"/>
          <w:color w:val="595959"/>
        </w:rPr>
        <w:t>% των οφειλών.</w:t>
      </w:r>
    </w:p>
    <w:p w14:paraId="0340C30D" w14:textId="77777777" w:rsidR="00CD21B2" w:rsidRPr="00CD21B2" w:rsidRDefault="00CD21B2" w:rsidP="00CD21B2">
      <w:pPr>
        <w:autoSpaceDE w:val="0"/>
        <w:autoSpaceDN w:val="0"/>
        <w:adjustRightInd w:val="0"/>
        <w:spacing w:after="0" w:line="276" w:lineRule="auto"/>
        <w:jc w:val="both"/>
        <w:rPr>
          <w:rFonts w:asciiTheme="majorHAnsi" w:eastAsia="Calibri" w:hAnsiTheme="majorHAnsi" w:cstheme="majorHAnsi"/>
          <w:color w:val="595959"/>
        </w:rPr>
      </w:pPr>
    </w:p>
    <w:p w14:paraId="66877554" w14:textId="77777777" w:rsidR="005D3C5F" w:rsidRPr="009C3C52" w:rsidRDefault="005D3C5F" w:rsidP="009C3C52">
      <w:pPr>
        <w:pStyle w:val="Caption"/>
        <w:spacing w:after="0"/>
        <w:jc w:val="center"/>
        <w:rPr>
          <w:rFonts w:asciiTheme="majorHAnsi" w:hAnsiTheme="majorHAnsi" w:cstheme="majorHAnsi"/>
          <w:i w:val="0"/>
          <w:iCs w:val="0"/>
          <w:sz w:val="22"/>
          <w:szCs w:val="22"/>
        </w:rPr>
      </w:pPr>
    </w:p>
    <w:p w14:paraId="75AD0CC7" w14:textId="77777777" w:rsidR="00FA5DCB" w:rsidRDefault="00FA5DCB" w:rsidP="005945F6">
      <w:pPr>
        <w:pStyle w:val="Caption"/>
        <w:keepNext/>
        <w:jc w:val="center"/>
      </w:pPr>
      <w:bookmarkStart w:id="137" w:name="_Toc98160549"/>
      <w:r>
        <w:lastRenderedPageBreak/>
        <w:t xml:space="preserve">Πίνακας </w:t>
      </w:r>
      <w:r w:rsidR="0059099F">
        <w:fldChar w:fldCharType="begin"/>
      </w:r>
      <w:r w:rsidR="0059099F">
        <w:instrText xml:space="preserve"> SEQ Πίνακας \* ARABIC </w:instrText>
      </w:r>
      <w:r w:rsidR="0059099F">
        <w:fldChar w:fldCharType="separate"/>
      </w:r>
      <w:r w:rsidR="003B23C4">
        <w:rPr>
          <w:noProof/>
        </w:rPr>
        <w:t>6</w:t>
      </w:r>
      <w:r w:rsidR="0059099F">
        <w:rPr>
          <w:noProof/>
        </w:rPr>
        <w:fldChar w:fldCharType="end"/>
      </w:r>
      <w:r w:rsidRPr="00FA5DCB">
        <w:rPr>
          <w:rFonts w:asciiTheme="majorHAnsi" w:hAnsiTheme="majorHAnsi" w:cstheme="majorHAnsi"/>
        </w:rPr>
        <w:t xml:space="preserve"> </w:t>
      </w:r>
      <w:r w:rsidRPr="005945F6">
        <w:t>Κατανομή πλήθους μητρώων οφειλετών με χρέη προς τους Φορείς Κοινωνικής Ασφάλισης</w:t>
      </w:r>
      <w:r w:rsidRPr="005945F6">
        <w:footnoteReference w:id="10"/>
      </w:r>
      <w:bookmarkEnd w:id="137"/>
    </w:p>
    <w:tbl>
      <w:tblPr>
        <w:tblW w:w="6946" w:type="dxa"/>
        <w:jc w:val="center"/>
        <w:tblLook w:val="04A0" w:firstRow="1" w:lastRow="0" w:firstColumn="1" w:lastColumn="0" w:noHBand="0" w:noVBand="1"/>
      </w:tblPr>
      <w:tblGrid>
        <w:gridCol w:w="1791"/>
        <w:gridCol w:w="1753"/>
        <w:gridCol w:w="1702"/>
        <w:gridCol w:w="1700"/>
      </w:tblGrid>
      <w:tr w:rsidR="005D3C5F" w:rsidRPr="001853D9" w14:paraId="6EF8383B" w14:textId="77777777" w:rsidTr="005945F6">
        <w:trPr>
          <w:trHeight w:val="873"/>
          <w:jc w:val="center"/>
        </w:trPr>
        <w:tc>
          <w:tcPr>
            <w:tcW w:w="1791" w:type="dxa"/>
            <w:tcBorders>
              <w:top w:val="nil"/>
              <w:left w:val="nil"/>
              <w:bottom w:val="single" w:sz="4" w:space="0" w:color="auto"/>
              <w:right w:val="nil"/>
            </w:tcBorders>
            <w:shd w:val="clear" w:color="auto" w:fill="auto"/>
            <w:vAlign w:val="center"/>
            <w:hideMark/>
          </w:tcPr>
          <w:p w14:paraId="0AD02967"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 xml:space="preserve">Εύρος οφειλής (ευρώ) </w:t>
            </w:r>
          </w:p>
        </w:tc>
        <w:tc>
          <w:tcPr>
            <w:tcW w:w="1753" w:type="dxa"/>
            <w:tcBorders>
              <w:top w:val="nil"/>
              <w:left w:val="nil"/>
              <w:bottom w:val="single" w:sz="4" w:space="0" w:color="auto"/>
              <w:right w:val="nil"/>
            </w:tcBorders>
            <w:shd w:val="clear" w:color="auto" w:fill="auto"/>
            <w:vAlign w:val="center"/>
            <w:hideMark/>
          </w:tcPr>
          <w:p w14:paraId="6ED118AD"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 xml:space="preserve">Πλήθος μητρώων οφειλετών </w:t>
            </w:r>
            <w:r>
              <w:rPr>
                <w:rFonts w:asciiTheme="majorHAnsi" w:eastAsia="Times New Roman" w:hAnsiTheme="majorHAnsi" w:cstheme="majorHAnsi"/>
                <w:bCs/>
                <w:color w:val="595959"/>
                <w:sz w:val="18"/>
                <w:szCs w:val="18"/>
                <w:lang w:eastAsia="el-GR"/>
              </w:rPr>
              <w:t>τέταρτο</w:t>
            </w:r>
            <w:r w:rsidRPr="001853D9">
              <w:rPr>
                <w:rFonts w:asciiTheme="majorHAnsi" w:eastAsia="Times New Roman" w:hAnsiTheme="majorHAnsi" w:cstheme="majorHAnsi"/>
                <w:bCs/>
                <w:color w:val="595959"/>
                <w:sz w:val="18"/>
                <w:szCs w:val="18"/>
                <w:lang w:eastAsia="el-GR"/>
              </w:rPr>
              <w:t xml:space="preserve"> τρίμηνο 2020</w:t>
            </w:r>
          </w:p>
        </w:tc>
        <w:tc>
          <w:tcPr>
            <w:tcW w:w="1702" w:type="dxa"/>
            <w:tcBorders>
              <w:top w:val="nil"/>
              <w:left w:val="nil"/>
              <w:bottom w:val="single" w:sz="4" w:space="0" w:color="auto"/>
              <w:right w:val="nil"/>
            </w:tcBorders>
            <w:shd w:val="clear" w:color="auto" w:fill="auto"/>
            <w:vAlign w:val="center"/>
            <w:hideMark/>
          </w:tcPr>
          <w:p w14:paraId="66AC90E4" w14:textId="77777777" w:rsidR="005D3C5F" w:rsidRPr="001853D9" w:rsidRDefault="005D3C5F" w:rsidP="003F4366">
            <w:pPr>
              <w:spacing w:after="0" w:line="276" w:lineRule="auto"/>
              <w:ind w:left="34"/>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 xml:space="preserve">Πλήθος μητρώων οφειλετών </w:t>
            </w:r>
            <w:r>
              <w:rPr>
                <w:rFonts w:asciiTheme="majorHAnsi" w:eastAsia="Times New Roman" w:hAnsiTheme="majorHAnsi" w:cstheme="majorHAnsi"/>
                <w:bCs/>
                <w:color w:val="595959"/>
                <w:sz w:val="18"/>
                <w:szCs w:val="18"/>
                <w:lang w:eastAsia="el-GR"/>
              </w:rPr>
              <w:t>τέταρτο</w:t>
            </w:r>
            <w:r w:rsidRPr="001853D9">
              <w:rPr>
                <w:rFonts w:asciiTheme="majorHAnsi" w:eastAsia="Times New Roman" w:hAnsiTheme="majorHAnsi" w:cstheme="majorHAnsi"/>
                <w:bCs/>
                <w:color w:val="595959"/>
                <w:sz w:val="18"/>
                <w:szCs w:val="18"/>
                <w:lang w:eastAsia="el-GR"/>
              </w:rPr>
              <w:t xml:space="preserve"> τρίμηνο 2021</w:t>
            </w:r>
          </w:p>
        </w:tc>
        <w:tc>
          <w:tcPr>
            <w:tcW w:w="1700" w:type="dxa"/>
            <w:tcBorders>
              <w:top w:val="nil"/>
              <w:left w:val="nil"/>
              <w:bottom w:val="single" w:sz="4" w:space="0" w:color="auto"/>
              <w:right w:val="nil"/>
            </w:tcBorders>
            <w:shd w:val="clear" w:color="auto" w:fill="auto"/>
            <w:vAlign w:val="center"/>
            <w:hideMark/>
          </w:tcPr>
          <w:p w14:paraId="053F7856"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Μεταβολή πλήθους μητρώων οφειλετών</w:t>
            </w:r>
          </w:p>
        </w:tc>
      </w:tr>
      <w:tr w:rsidR="005D3C5F" w:rsidRPr="001853D9" w14:paraId="4285D6AB" w14:textId="77777777" w:rsidTr="005945F6">
        <w:trPr>
          <w:trHeight w:val="218"/>
          <w:jc w:val="center"/>
        </w:trPr>
        <w:tc>
          <w:tcPr>
            <w:tcW w:w="1791" w:type="dxa"/>
            <w:tcBorders>
              <w:top w:val="nil"/>
              <w:left w:val="nil"/>
              <w:bottom w:val="nil"/>
            </w:tcBorders>
            <w:shd w:val="clear" w:color="auto" w:fill="auto"/>
            <w:noWrap/>
            <w:vAlign w:val="bottom"/>
          </w:tcPr>
          <w:p w14:paraId="43922A17"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&lt;50</w:t>
            </w:r>
          </w:p>
        </w:tc>
        <w:tc>
          <w:tcPr>
            <w:tcW w:w="1753" w:type="dxa"/>
            <w:tcBorders>
              <w:top w:val="single" w:sz="4" w:space="0" w:color="auto"/>
            </w:tcBorders>
            <w:shd w:val="clear" w:color="auto" w:fill="auto"/>
            <w:noWrap/>
          </w:tcPr>
          <w:p w14:paraId="59659B88"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109.069</w:t>
            </w:r>
          </w:p>
        </w:tc>
        <w:tc>
          <w:tcPr>
            <w:tcW w:w="1702" w:type="dxa"/>
            <w:tcBorders>
              <w:top w:val="single" w:sz="4" w:space="0" w:color="auto"/>
            </w:tcBorders>
            <w:shd w:val="clear" w:color="auto" w:fill="auto"/>
            <w:noWrap/>
          </w:tcPr>
          <w:p w14:paraId="2A0C8ED1"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129.044</w:t>
            </w:r>
          </w:p>
        </w:tc>
        <w:tc>
          <w:tcPr>
            <w:tcW w:w="1700" w:type="dxa"/>
            <w:tcBorders>
              <w:top w:val="nil"/>
              <w:left w:val="nil"/>
              <w:bottom w:val="nil"/>
              <w:right w:val="nil"/>
            </w:tcBorders>
            <w:shd w:val="clear" w:color="auto" w:fill="auto"/>
            <w:noWrap/>
          </w:tcPr>
          <w:p w14:paraId="3ECFBCAC"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19.975</w:t>
            </w:r>
          </w:p>
        </w:tc>
      </w:tr>
      <w:tr w:rsidR="005D3C5F" w:rsidRPr="001853D9" w14:paraId="44DD29E2" w14:textId="77777777" w:rsidTr="005945F6">
        <w:trPr>
          <w:trHeight w:val="218"/>
          <w:jc w:val="center"/>
        </w:trPr>
        <w:tc>
          <w:tcPr>
            <w:tcW w:w="1791" w:type="dxa"/>
            <w:tcBorders>
              <w:top w:val="nil"/>
              <w:left w:val="nil"/>
              <w:bottom w:val="nil"/>
            </w:tcBorders>
            <w:shd w:val="clear" w:color="auto" w:fill="auto"/>
            <w:noWrap/>
            <w:vAlign w:val="bottom"/>
          </w:tcPr>
          <w:p w14:paraId="23894334"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50-500</w:t>
            </w:r>
          </w:p>
        </w:tc>
        <w:tc>
          <w:tcPr>
            <w:tcW w:w="1753" w:type="dxa"/>
            <w:tcBorders>
              <w:top w:val="nil"/>
            </w:tcBorders>
            <w:shd w:val="clear" w:color="auto" w:fill="auto"/>
            <w:noWrap/>
          </w:tcPr>
          <w:p w14:paraId="63E3D6A3"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211.001</w:t>
            </w:r>
          </w:p>
        </w:tc>
        <w:tc>
          <w:tcPr>
            <w:tcW w:w="1702" w:type="dxa"/>
            <w:tcBorders>
              <w:top w:val="nil"/>
            </w:tcBorders>
            <w:shd w:val="clear" w:color="auto" w:fill="auto"/>
            <w:noWrap/>
          </w:tcPr>
          <w:p w14:paraId="36AE269F"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342.104</w:t>
            </w:r>
          </w:p>
        </w:tc>
        <w:tc>
          <w:tcPr>
            <w:tcW w:w="1700" w:type="dxa"/>
            <w:tcBorders>
              <w:top w:val="nil"/>
              <w:left w:val="nil"/>
              <w:bottom w:val="nil"/>
              <w:right w:val="nil"/>
            </w:tcBorders>
            <w:shd w:val="clear" w:color="auto" w:fill="auto"/>
            <w:noWrap/>
          </w:tcPr>
          <w:p w14:paraId="520C81D2"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131.103</w:t>
            </w:r>
          </w:p>
        </w:tc>
      </w:tr>
      <w:tr w:rsidR="005D3C5F" w:rsidRPr="001853D9" w14:paraId="187AF126" w14:textId="77777777" w:rsidTr="005945F6">
        <w:trPr>
          <w:trHeight w:val="218"/>
          <w:jc w:val="center"/>
        </w:trPr>
        <w:tc>
          <w:tcPr>
            <w:tcW w:w="1791" w:type="dxa"/>
            <w:tcBorders>
              <w:top w:val="nil"/>
              <w:left w:val="nil"/>
              <w:bottom w:val="nil"/>
            </w:tcBorders>
            <w:shd w:val="clear" w:color="auto" w:fill="auto"/>
            <w:noWrap/>
            <w:vAlign w:val="bottom"/>
            <w:hideMark/>
          </w:tcPr>
          <w:p w14:paraId="739C9FB6"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500-10.000</w:t>
            </w:r>
          </w:p>
        </w:tc>
        <w:tc>
          <w:tcPr>
            <w:tcW w:w="1753" w:type="dxa"/>
            <w:tcBorders>
              <w:top w:val="nil"/>
            </w:tcBorders>
            <w:shd w:val="clear" w:color="auto" w:fill="auto"/>
            <w:noWrap/>
          </w:tcPr>
          <w:p w14:paraId="5AA7F670"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1.167.732</w:t>
            </w:r>
          </w:p>
        </w:tc>
        <w:tc>
          <w:tcPr>
            <w:tcW w:w="1702" w:type="dxa"/>
            <w:tcBorders>
              <w:top w:val="nil"/>
            </w:tcBorders>
            <w:shd w:val="clear" w:color="auto" w:fill="auto"/>
            <w:noWrap/>
          </w:tcPr>
          <w:p w14:paraId="78A6011F"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1.242.050</w:t>
            </w:r>
          </w:p>
        </w:tc>
        <w:tc>
          <w:tcPr>
            <w:tcW w:w="1700" w:type="dxa"/>
            <w:tcBorders>
              <w:top w:val="nil"/>
              <w:left w:val="nil"/>
              <w:bottom w:val="nil"/>
              <w:right w:val="nil"/>
            </w:tcBorders>
            <w:shd w:val="clear" w:color="auto" w:fill="auto"/>
            <w:noWrap/>
          </w:tcPr>
          <w:p w14:paraId="13860BAF"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74.318</w:t>
            </w:r>
          </w:p>
        </w:tc>
      </w:tr>
      <w:tr w:rsidR="005D3C5F" w:rsidRPr="001853D9" w14:paraId="4581CEAE" w14:textId="77777777" w:rsidTr="005945F6">
        <w:trPr>
          <w:trHeight w:val="218"/>
          <w:jc w:val="center"/>
        </w:trPr>
        <w:tc>
          <w:tcPr>
            <w:tcW w:w="1791" w:type="dxa"/>
            <w:tcBorders>
              <w:top w:val="nil"/>
              <w:left w:val="nil"/>
              <w:bottom w:val="nil"/>
            </w:tcBorders>
            <w:shd w:val="clear" w:color="auto" w:fill="auto"/>
            <w:noWrap/>
            <w:vAlign w:val="bottom"/>
            <w:hideMark/>
          </w:tcPr>
          <w:p w14:paraId="3F81F79A"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10.000-100.000</w:t>
            </w:r>
          </w:p>
        </w:tc>
        <w:tc>
          <w:tcPr>
            <w:tcW w:w="1753" w:type="dxa"/>
            <w:tcBorders>
              <w:top w:val="nil"/>
            </w:tcBorders>
            <w:shd w:val="clear" w:color="auto" w:fill="auto"/>
            <w:noWrap/>
          </w:tcPr>
          <w:p w14:paraId="78049CA5"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474.986</w:t>
            </w:r>
          </w:p>
        </w:tc>
        <w:tc>
          <w:tcPr>
            <w:tcW w:w="1702" w:type="dxa"/>
            <w:tcBorders>
              <w:top w:val="nil"/>
            </w:tcBorders>
            <w:shd w:val="clear" w:color="auto" w:fill="auto"/>
            <w:noWrap/>
          </w:tcPr>
          <w:p w14:paraId="63FA4DA4"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597.365</w:t>
            </w:r>
          </w:p>
        </w:tc>
        <w:tc>
          <w:tcPr>
            <w:tcW w:w="1700" w:type="dxa"/>
            <w:tcBorders>
              <w:top w:val="nil"/>
              <w:left w:val="nil"/>
              <w:bottom w:val="nil"/>
              <w:right w:val="nil"/>
            </w:tcBorders>
            <w:shd w:val="clear" w:color="auto" w:fill="auto"/>
            <w:noWrap/>
          </w:tcPr>
          <w:p w14:paraId="14817568"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122.379</w:t>
            </w:r>
          </w:p>
        </w:tc>
      </w:tr>
      <w:tr w:rsidR="005D3C5F" w:rsidRPr="001853D9" w14:paraId="717A1795" w14:textId="77777777" w:rsidTr="005945F6">
        <w:trPr>
          <w:trHeight w:val="218"/>
          <w:jc w:val="center"/>
        </w:trPr>
        <w:tc>
          <w:tcPr>
            <w:tcW w:w="1791" w:type="dxa"/>
            <w:tcBorders>
              <w:top w:val="nil"/>
              <w:left w:val="nil"/>
              <w:bottom w:val="nil"/>
            </w:tcBorders>
            <w:shd w:val="clear" w:color="auto" w:fill="auto"/>
            <w:noWrap/>
            <w:vAlign w:val="bottom"/>
            <w:hideMark/>
          </w:tcPr>
          <w:p w14:paraId="1FE2B005"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100.000-1.000.000</w:t>
            </w:r>
          </w:p>
        </w:tc>
        <w:tc>
          <w:tcPr>
            <w:tcW w:w="1753" w:type="dxa"/>
            <w:tcBorders>
              <w:top w:val="nil"/>
            </w:tcBorders>
            <w:shd w:val="clear" w:color="auto" w:fill="auto"/>
            <w:noWrap/>
          </w:tcPr>
          <w:p w14:paraId="56877C3E"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49.029</w:t>
            </w:r>
          </w:p>
        </w:tc>
        <w:tc>
          <w:tcPr>
            <w:tcW w:w="1702" w:type="dxa"/>
            <w:tcBorders>
              <w:top w:val="nil"/>
            </w:tcBorders>
            <w:shd w:val="clear" w:color="auto" w:fill="auto"/>
            <w:noWrap/>
          </w:tcPr>
          <w:p w14:paraId="26B63ADB"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51.777</w:t>
            </w:r>
          </w:p>
        </w:tc>
        <w:tc>
          <w:tcPr>
            <w:tcW w:w="1700" w:type="dxa"/>
            <w:tcBorders>
              <w:top w:val="nil"/>
              <w:left w:val="nil"/>
              <w:bottom w:val="nil"/>
              <w:right w:val="nil"/>
            </w:tcBorders>
            <w:shd w:val="clear" w:color="auto" w:fill="auto"/>
            <w:noWrap/>
          </w:tcPr>
          <w:p w14:paraId="37FC9F5A"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2.748</w:t>
            </w:r>
          </w:p>
        </w:tc>
      </w:tr>
      <w:tr w:rsidR="005D3C5F" w:rsidRPr="001853D9" w14:paraId="4E27D329" w14:textId="77777777" w:rsidTr="005945F6">
        <w:trPr>
          <w:trHeight w:val="218"/>
          <w:jc w:val="center"/>
        </w:trPr>
        <w:tc>
          <w:tcPr>
            <w:tcW w:w="1791" w:type="dxa"/>
            <w:tcBorders>
              <w:top w:val="nil"/>
              <w:left w:val="nil"/>
            </w:tcBorders>
            <w:shd w:val="clear" w:color="auto" w:fill="auto"/>
            <w:noWrap/>
            <w:vAlign w:val="bottom"/>
            <w:hideMark/>
          </w:tcPr>
          <w:p w14:paraId="73E7B1CD"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&gt;1.000.000</w:t>
            </w:r>
          </w:p>
        </w:tc>
        <w:tc>
          <w:tcPr>
            <w:tcW w:w="1753" w:type="dxa"/>
            <w:tcBorders>
              <w:top w:val="nil"/>
            </w:tcBorders>
            <w:shd w:val="clear" w:color="auto" w:fill="auto"/>
            <w:noWrap/>
          </w:tcPr>
          <w:p w14:paraId="1A9CFD49"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2.083</w:t>
            </w:r>
          </w:p>
        </w:tc>
        <w:tc>
          <w:tcPr>
            <w:tcW w:w="1702" w:type="dxa"/>
            <w:tcBorders>
              <w:top w:val="nil"/>
            </w:tcBorders>
            <w:shd w:val="clear" w:color="auto" w:fill="auto"/>
            <w:noWrap/>
          </w:tcPr>
          <w:p w14:paraId="13AD9E15"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2.178</w:t>
            </w:r>
          </w:p>
        </w:tc>
        <w:tc>
          <w:tcPr>
            <w:tcW w:w="1700" w:type="dxa"/>
            <w:tcBorders>
              <w:top w:val="nil"/>
              <w:left w:val="nil"/>
              <w:right w:val="nil"/>
            </w:tcBorders>
            <w:shd w:val="clear" w:color="auto" w:fill="auto"/>
            <w:noWrap/>
          </w:tcPr>
          <w:p w14:paraId="069646D3"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F417EA">
              <w:rPr>
                <w:rFonts w:asciiTheme="majorHAnsi" w:eastAsia="Times New Roman" w:hAnsiTheme="majorHAnsi" w:cstheme="majorHAnsi"/>
                <w:color w:val="595959"/>
                <w:sz w:val="18"/>
                <w:szCs w:val="18"/>
                <w:lang w:eastAsia="el-GR"/>
              </w:rPr>
              <w:t>95</w:t>
            </w:r>
          </w:p>
        </w:tc>
      </w:tr>
      <w:tr w:rsidR="005D3C5F" w:rsidRPr="001853D9" w14:paraId="362B3189" w14:textId="77777777" w:rsidTr="005945F6">
        <w:trPr>
          <w:trHeight w:val="218"/>
          <w:jc w:val="center"/>
        </w:trPr>
        <w:tc>
          <w:tcPr>
            <w:tcW w:w="1791" w:type="dxa"/>
            <w:tcBorders>
              <w:top w:val="nil"/>
              <w:left w:val="nil"/>
              <w:bottom w:val="single" w:sz="4" w:space="0" w:color="auto"/>
            </w:tcBorders>
            <w:shd w:val="clear" w:color="auto" w:fill="auto"/>
            <w:noWrap/>
            <w:vAlign w:val="bottom"/>
            <w:hideMark/>
          </w:tcPr>
          <w:p w14:paraId="68DCA2CF" w14:textId="77777777" w:rsidR="005D3C5F" w:rsidRPr="001853D9" w:rsidRDefault="005D3C5F" w:rsidP="003F4366">
            <w:pPr>
              <w:spacing w:after="0" w:line="276" w:lineRule="auto"/>
              <w:rPr>
                <w:rFonts w:asciiTheme="majorHAnsi" w:eastAsia="Times New Roman" w:hAnsiTheme="majorHAnsi" w:cstheme="majorHAnsi"/>
                <w:b/>
                <w:bCs/>
                <w:color w:val="595959"/>
                <w:sz w:val="18"/>
                <w:szCs w:val="18"/>
                <w:lang w:eastAsia="el-GR"/>
              </w:rPr>
            </w:pPr>
            <w:r w:rsidRPr="001853D9">
              <w:rPr>
                <w:rFonts w:asciiTheme="majorHAnsi" w:eastAsia="Times New Roman" w:hAnsiTheme="majorHAnsi" w:cstheme="majorHAnsi"/>
                <w:b/>
                <w:bCs/>
                <w:color w:val="595959"/>
                <w:sz w:val="18"/>
                <w:szCs w:val="18"/>
                <w:lang w:eastAsia="el-GR"/>
              </w:rPr>
              <w:t>Σύνολο</w:t>
            </w:r>
          </w:p>
        </w:tc>
        <w:tc>
          <w:tcPr>
            <w:tcW w:w="1753" w:type="dxa"/>
            <w:tcBorders>
              <w:top w:val="nil"/>
              <w:bottom w:val="single" w:sz="4" w:space="0" w:color="auto"/>
            </w:tcBorders>
            <w:shd w:val="clear" w:color="auto" w:fill="auto"/>
            <w:noWrap/>
          </w:tcPr>
          <w:p w14:paraId="735ED402" w14:textId="77777777" w:rsidR="005D3C5F" w:rsidRPr="00F417EA" w:rsidRDefault="005D3C5F" w:rsidP="003F4366">
            <w:pPr>
              <w:spacing w:after="0" w:line="276" w:lineRule="auto"/>
              <w:jc w:val="center"/>
              <w:rPr>
                <w:rFonts w:asciiTheme="majorHAnsi" w:eastAsia="Times New Roman" w:hAnsiTheme="majorHAnsi" w:cstheme="majorHAnsi"/>
                <w:b/>
                <w:sz w:val="18"/>
                <w:szCs w:val="18"/>
                <w:lang w:eastAsia="el-GR"/>
              </w:rPr>
            </w:pPr>
            <w:r w:rsidRPr="00F417EA">
              <w:rPr>
                <w:rFonts w:asciiTheme="majorHAnsi" w:eastAsia="Times New Roman" w:hAnsiTheme="majorHAnsi" w:cstheme="majorHAnsi"/>
                <w:b/>
                <w:sz w:val="18"/>
                <w:szCs w:val="18"/>
                <w:lang w:eastAsia="el-GR"/>
              </w:rPr>
              <w:t>2.013.900</w:t>
            </w:r>
          </w:p>
        </w:tc>
        <w:tc>
          <w:tcPr>
            <w:tcW w:w="1702" w:type="dxa"/>
            <w:tcBorders>
              <w:top w:val="nil"/>
              <w:bottom w:val="single" w:sz="4" w:space="0" w:color="auto"/>
            </w:tcBorders>
            <w:shd w:val="clear" w:color="auto" w:fill="auto"/>
            <w:noWrap/>
          </w:tcPr>
          <w:p w14:paraId="17F857C0" w14:textId="77777777" w:rsidR="005D3C5F" w:rsidRPr="00F417EA" w:rsidRDefault="005D3C5F" w:rsidP="003F4366">
            <w:pPr>
              <w:spacing w:after="0" w:line="276" w:lineRule="auto"/>
              <w:jc w:val="center"/>
              <w:rPr>
                <w:rFonts w:asciiTheme="majorHAnsi" w:eastAsia="Times New Roman" w:hAnsiTheme="majorHAnsi" w:cstheme="majorHAnsi"/>
                <w:b/>
                <w:sz w:val="18"/>
                <w:szCs w:val="18"/>
                <w:lang w:eastAsia="el-GR"/>
              </w:rPr>
            </w:pPr>
            <w:r w:rsidRPr="00F417EA">
              <w:rPr>
                <w:rFonts w:asciiTheme="majorHAnsi" w:eastAsia="Times New Roman" w:hAnsiTheme="majorHAnsi" w:cstheme="majorHAnsi"/>
                <w:b/>
                <w:sz w:val="18"/>
                <w:szCs w:val="18"/>
                <w:lang w:eastAsia="el-GR"/>
              </w:rPr>
              <w:t>2.364.518</w:t>
            </w:r>
          </w:p>
        </w:tc>
        <w:tc>
          <w:tcPr>
            <w:tcW w:w="1700" w:type="dxa"/>
            <w:tcBorders>
              <w:top w:val="nil"/>
              <w:left w:val="nil"/>
              <w:bottom w:val="single" w:sz="4" w:space="0" w:color="auto"/>
              <w:right w:val="nil"/>
            </w:tcBorders>
            <w:shd w:val="clear" w:color="auto" w:fill="auto"/>
            <w:noWrap/>
          </w:tcPr>
          <w:p w14:paraId="2D4B2084" w14:textId="77777777" w:rsidR="005D3C5F" w:rsidRPr="00F417EA" w:rsidRDefault="005D3C5F" w:rsidP="003F4366">
            <w:pPr>
              <w:spacing w:after="0" w:line="276" w:lineRule="auto"/>
              <w:jc w:val="center"/>
              <w:rPr>
                <w:rFonts w:asciiTheme="majorHAnsi" w:eastAsia="Times New Roman" w:hAnsiTheme="majorHAnsi" w:cstheme="majorHAnsi"/>
                <w:b/>
                <w:sz w:val="18"/>
                <w:szCs w:val="18"/>
                <w:lang w:eastAsia="el-GR"/>
              </w:rPr>
            </w:pPr>
            <w:r w:rsidRPr="00F417EA">
              <w:rPr>
                <w:rFonts w:asciiTheme="majorHAnsi" w:eastAsia="Times New Roman" w:hAnsiTheme="majorHAnsi" w:cstheme="majorHAnsi"/>
                <w:b/>
                <w:sz w:val="18"/>
                <w:szCs w:val="18"/>
                <w:lang w:eastAsia="el-GR"/>
              </w:rPr>
              <w:t>350.618</w:t>
            </w:r>
          </w:p>
        </w:tc>
      </w:tr>
      <w:tr w:rsidR="005D3C5F" w:rsidRPr="001853D9" w14:paraId="2C043B3E" w14:textId="77777777" w:rsidTr="005945F6">
        <w:trPr>
          <w:trHeight w:val="218"/>
          <w:jc w:val="center"/>
        </w:trPr>
        <w:tc>
          <w:tcPr>
            <w:tcW w:w="1791" w:type="dxa"/>
            <w:tcBorders>
              <w:top w:val="single" w:sz="4" w:space="0" w:color="auto"/>
              <w:left w:val="nil"/>
              <w:right w:val="nil"/>
            </w:tcBorders>
            <w:shd w:val="clear" w:color="auto" w:fill="auto"/>
            <w:noWrap/>
            <w:vAlign w:val="bottom"/>
          </w:tcPr>
          <w:p w14:paraId="3218167C" w14:textId="77777777" w:rsidR="005D3C5F" w:rsidRPr="001853D9" w:rsidRDefault="005D3C5F" w:rsidP="003F4366">
            <w:pPr>
              <w:spacing w:after="0" w:line="276" w:lineRule="auto"/>
              <w:rPr>
                <w:rFonts w:asciiTheme="majorHAnsi" w:eastAsia="Times New Roman" w:hAnsiTheme="majorHAnsi" w:cstheme="majorHAnsi"/>
                <w:bCs/>
                <w:color w:val="595959"/>
                <w:sz w:val="16"/>
                <w:szCs w:val="16"/>
                <w:lang w:val="en-US" w:eastAsia="el-GR"/>
              </w:rPr>
            </w:pPr>
            <w:r w:rsidRPr="001853D9">
              <w:rPr>
                <w:rFonts w:asciiTheme="majorHAnsi" w:eastAsia="Times New Roman" w:hAnsiTheme="majorHAnsi" w:cstheme="majorHAnsi"/>
                <w:bCs/>
                <w:color w:val="595959"/>
                <w:sz w:val="16"/>
                <w:szCs w:val="16"/>
                <w:lang w:eastAsia="el-GR"/>
              </w:rPr>
              <w:t xml:space="preserve">Πηγή: </w:t>
            </w:r>
            <w:r w:rsidRPr="001853D9">
              <w:rPr>
                <w:rFonts w:asciiTheme="majorHAnsi" w:eastAsia="Times New Roman" w:hAnsiTheme="majorHAnsi" w:cstheme="majorHAnsi"/>
                <w:bCs/>
                <w:color w:val="595959"/>
                <w:sz w:val="16"/>
                <w:szCs w:val="16"/>
                <w:lang w:val="en-US" w:eastAsia="el-GR"/>
              </w:rPr>
              <w:t>KEAO</w:t>
            </w:r>
          </w:p>
        </w:tc>
        <w:tc>
          <w:tcPr>
            <w:tcW w:w="1753" w:type="dxa"/>
            <w:tcBorders>
              <w:top w:val="single" w:sz="4" w:space="0" w:color="auto"/>
              <w:left w:val="nil"/>
              <w:right w:val="nil"/>
            </w:tcBorders>
            <w:shd w:val="clear" w:color="auto" w:fill="auto"/>
            <w:noWrap/>
            <w:vAlign w:val="bottom"/>
          </w:tcPr>
          <w:p w14:paraId="612351FC"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p>
        </w:tc>
        <w:tc>
          <w:tcPr>
            <w:tcW w:w="1702" w:type="dxa"/>
            <w:tcBorders>
              <w:top w:val="single" w:sz="4" w:space="0" w:color="auto"/>
              <w:left w:val="nil"/>
              <w:right w:val="nil"/>
            </w:tcBorders>
            <w:shd w:val="clear" w:color="auto" w:fill="auto"/>
            <w:noWrap/>
            <w:vAlign w:val="bottom"/>
          </w:tcPr>
          <w:p w14:paraId="230D2091"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p>
        </w:tc>
        <w:tc>
          <w:tcPr>
            <w:tcW w:w="1700" w:type="dxa"/>
            <w:tcBorders>
              <w:top w:val="single" w:sz="4" w:space="0" w:color="auto"/>
              <w:left w:val="nil"/>
              <w:right w:val="nil"/>
            </w:tcBorders>
            <w:shd w:val="clear" w:color="auto" w:fill="auto"/>
            <w:noWrap/>
            <w:vAlign w:val="bottom"/>
          </w:tcPr>
          <w:p w14:paraId="49A7235B"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p>
        </w:tc>
      </w:tr>
    </w:tbl>
    <w:p w14:paraId="3961838E" w14:textId="77777777" w:rsidR="00FA5DCB" w:rsidRPr="009C3C52" w:rsidRDefault="00FA5DCB" w:rsidP="009C3C52">
      <w:pPr>
        <w:pStyle w:val="Caption"/>
        <w:keepNext/>
        <w:spacing w:after="0"/>
        <w:rPr>
          <w:sz w:val="22"/>
          <w:szCs w:val="22"/>
        </w:rPr>
      </w:pPr>
    </w:p>
    <w:p w14:paraId="6D00A3BE" w14:textId="77777777" w:rsidR="00FA5DCB" w:rsidRDefault="00FA5DCB" w:rsidP="005945F6">
      <w:pPr>
        <w:pStyle w:val="Caption"/>
        <w:keepNext/>
        <w:jc w:val="center"/>
      </w:pPr>
      <w:bookmarkStart w:id="138" w:name="_Toc98160550"/>
      <w:r>
        <w:t xml:space="preserve">Πίνακας </w:t>
      </w:r>
      <w:r w:rsidR="0059099F">
        <w:fldChar w:fldCharType="begin"/>
      </w:r>
      <w:r w:rsidR="0059099F">
        <w:instrText xml:space="preserve"> SEQ Πίνακας \* ARABIC </w:instrText>
      </w:r>
      <w:r w:rsidR="0059099F">
        <w:fldChar w:fldCharType="separate"/>
      </w:r>
      <w:r w:rsidR="003B23C4">
        <w:rPr>
          <w:noProof/>
        </w:rPr>
        <w:t>7</w:t>
      </w:r>
      <w:r w:rsidR="0059099F">
        <w:rPr>
          <w:noProof/>
        </w:rPr>
        <w:fldChar w:fldCharType="end"/>
      </w:r>
      <w:r w:rsidRPr="00FA5DCB">
        <w:rPr>
          <w:rFonts w:asciiTheme="majorHAnsi" w:hAnsiTheme="majorHAnsi" w:cstheme="majorHAnsi"/>
        </w:rPr>
        <w:t xml:space="preserve"> </w:t>
      </w:r>
      <w:r w:rsidRPr="001853D9">
        <w:rPr>
          <w:rFonts w:asciiTheme="majorHAnsi" w:hAnsiTheme="majorHAnsi" w:cstheme="majorHAnsi"/>
        </w:rPr>
        <w:t>Κατανομή κύριων οφειλών προς τους Φορείς Κοινωνικής Ασφάλισης, σε εκατ. ευρώ</w:t>
      </w:r>
      <w:bookmarkEnd w:id="138"/>
    </w:p>
    <w:tbl>
      <w:tblPr>
        <w:tblW w:w="6952" w:type="dxa"/>
        <w:jc w:val="center"/>
        <w:tblLook w:val="04A0" w:firstRow="1" w:lastRow="0" w:firstColumn="1" w:lastColumn="0" w:noHBand="0" w:noVBand="1"/>
      </w:tblPr>
      <w:tblGrid>
        <w:gridCol w:w="1701"/>
        <w:gridCol w:w="142"/>
        <w:gridCol w:w="1487"/>
        <w:gridCol w:w="1701"/>
        <w:gridCol w:w="1921"/>
      </w:tblGrid>
      <w:tr w:rsidR="005D3C5F" w:rsidRPr="001853D9" w14:paraId="4DE53C24" w14:textId="77777777" w:rsidTr="003F4366">
        <w:trPr>
          <w:trHeight w:val="747"/>
          <w:jc w:val="center"/>
        </w:trPr>
        <w:tc>
          <w:tcPr>
            <w:tcW w:w="1701" w:type="dxa"/>
            <w:tcBorders>
              <w:top w:val="nil"/>
              <w:left w:val="nil"/>
              <w:bottom w:val="single" w:sz="4" w:space="0" w:color="auto"/>
              <w:right w:val="nil"/>
            </w:tcBorders>
            <w:shd w:val="clear" w:color="auto" w:fill="auto"/>
            <w:vAlign w:val="center"/>
            <w:hideMark/>
          </w:tcPr>
          <w:p w14:paraId="4C96A2F7"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 xml:space="preserve">Εύρος οφειλής (ευρώ) </w:t>
            </w:r>
          </w:p>
        </w:tc>
        <w:tc>
          <w:tcPr>
            <w:tcW w:w="1629" w:type="dxa"/>
            <w:gridSpan w:val="2"/>
            <w:tcBorders>
              <w:top w:val="nil"/>
              <w:left w:val="nil"/>
              <w:bottom w:val="single" w:sz="4" w:space="0" w:color="auto"/>
              <w:right w:val="nil"/>
            </w:tcBorders>
            <w:shd w:val="clear" w:color="auto" w:fill="auto"/>
            <w:vAlign w:val="center"/>
            <w:hideMark/>
          </w:tcPr>
          <w:p w14:paraId="49F6A9C8"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 xml:space="preserve">Ληξιπρόθεσμες οφειλές </w:t>
            </w:r>
            <w:r>
              <w:rPr>
                <w:rFonts w:asciiTheme="majorHAnsi" w:eastAsia="Times New Roman" w:hAnsiTheme="majorHAnsi" w:cstheme="majorHAnsi"/>
                <w:bCs/>
                <w:color w:val="595959"/>
                <w:sz w:val="18"/>
                <w:szCs w:val="18"/>
                <w:lang w:eastAsia="el-GR"/>
              </w:rPr>
              <w:t>τέταρτο</w:t>
            </w:r>
            <w:r w:rsidRPr="001853D9">
              <w:rPr>
                <w:rFonts w:asciiTheme="majorHAnsi" w:eastAsia="Times New Roman" w:hAnsiTheme="majorHAnsi" w:cstheme="majorHAnsi"/>
                <w:bCs/>
                <w:color w:val="595959"/>
                <w:sz w:val="18"/>
                <w:szCs w:val="18"/>
                <w:lang w:eastAsia="el-GR"/>
              </w:rPr>
              <w:t xml:space="preserve"> τρίμηνο 2020</w:t>
            </w:r>
          </w:p>
        </w:tc>
        <w:tc>
          <w:tcPr>
            <w:tcW w:w="1701" w:type="dxa"/>
            <w:tcBorders>
              <w:top w:val="nil"/>
              <w:left w:val="nil"/>
              <w:bottom w:val="single" w:sz="4" w:space="0" w:color="auto"/>
              <w:right w:val="nil"/>
            </w:tcBorders>
            <w:shd w:val="clear" w:color="auto" w:fill="auto"/>
            <w:vAlign w:val="center"/>
            <w:hideMark/>
          </w:tcPr>
          <w:p w14:paraId="16DC4582"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 xml:space="preserve">Ληξιπρόθεσμες οφειλές </w:t>
            </w:r>
            <w:r>
              <w:rPr>
                <w:rFonts w:asciiTheme="majorHAnsi" w:eastAsia="Times New Roman" w:hAnsiTheme="majorHAnsi" w:cstheme="majorHAnsi"/>
                <w:bCs/>
                <w:color w:val="595959"/>
                <w:sz w:val="18"/>
                <w:szCs w:val="18"/>
                <w:lang w:eastAsia="el-GR"/>
              </w:rPr>
              <w:t>τέταρτο</w:t>
            </w:r>
            <w:r w:rsidRPr="001853D9">
              <w:rPr>
                <w:rFonts w:asciiTheme="majorHAnsi" w:eastAsia="Times New Roman" w:hAnsiTheme="majorHAnsi" w:cstheme="majorHAnsi"/>
                <w:bCs/>
                <w:color w:val="595959"/>
                <w:sz w:val="18"/>
                <w:szCs w:val="18"/>
                <w:lang w:eastAsia="el-GR"/>
              </w:rPr>
              <w:t xml:space="preserve"> τρίμηνο 2021</w:t>
            </w:r>
          </w:p>
        </w:tc>
        <w:tc>
          <w:tcPr>
            <w:tcW w:w="1921" w:type="dxa"/>
            <w:tcBorders>
              <w:top w:val="nil"/>
              <w:left w:val="nil"/>
              <w:bottom w:val="single" w:sz="4" w:space="0" w:color="auto"/>
              <w:right w:val="nil"/>
            </w:tcBorders>
            <w:shd w:val="clear" w:color="auto" w:fill="auto"/>
            <w:vAlign w:val="center"/>
            <w:hideMark/>
          </w:tcPr>
          <w:p w14:paraId="1B635CA1"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Μεταβολή ληξιπρόθεσμων οφειλών</w:t>
            </w:r>
          </w:p>
        </w:tc>
      </w:tr>
      <w:tr w:rsidR="005D3C5F" w:rsidRPr="001853D9" w14:paraId="76A11039" w14:textId="77777777" w:rsidTr="003F4366">
        <w:trPr>
          <w:trHeight w:val="186"/>
          <w:jc w:val="center"/>
        </w:trPr>
        <w:tc>
          <w:tcPr>
            <w:tcW w:w="1843" w:type="dxa"/>
            <w:gridSpan w:val="2"/>
            <w:tcBorders>
              <w:top w:val="nil"/>
              <w:left w:val="nil"/>
              <w:bottom w:val="nil"/>
            </w:tcBorders>
            <w:shd w:val="clear" w:color="auto" w:fill="auto"/>
            <w:noWrap/>
            <w:vAlign w:val="bottom"/>
          </w:tcPr>
          <w:p w14:paraId="6E411EFF"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&lt;50</w:t>
            </w:r>
          </w:p>
        </w:tc>
        <w:tc>
          <w:tcPr>
            <w:tcW w:w="1487" w:type="dxa"/>
            <w:tcBorders>
              <w:top w:val="nil"/>
              <w:left w:val="nil"/>
              <w:bottom w:val="nil"/>
              <w:right w:val="nil"/>
            </w:tcBorders>
            <w:shd w:val="clear" w:color="auto" w:fill="auto"/>
            <w:noWrap/>
          </w:tcPr>
          <w:p w14:paraId="534F0862"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1,6</w:t>
            </w:r>
          </w:p>
        </w:tc>
        <w:tc>
          <w:tcPr>
            <w:tcW w:w="1701" w:type="dxa"/>
            <w:tcBorders>
              <w:top w:val="nil"/>
              <w:left w:val="nil"/>
              <w:bottom w:val="nil"/>
              <w:right w:val="nil"/>
            </w:tcBorders>
            <w:shd w:val="clear" w:color="auto" w:fill="auto"/>
            <w:noWrap/>
          </w:tcPr>
          <w:p w14:paraId="1A01793C"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1,9</w:t>
            </w:r>
          </w:p>
        </w:tc>
        <w:tc>
          <w:tcPr>
            <w:tcW w:w="1921" w:type="dxa"/>
            <w:tcBorders>
              <w:top w:val="nil"/>
              <w:left w:val="nil"/>
              <w:bottom w:val="nil"/>
              <w:right w:val="nil"/>
            </w:tcBorders>
            <w:shd w:val="clear" w:color="auto" w:fill="auto"/>
            <w:noWrap/>
          </w:tcPr>
          <w:p w14:paraId="4594C046"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0,3</w:t>
            </w:r>
          </w:p>
        </w:tc>
      </w:tr>
      <w:tr w:rsidR="005D3C5F" w:rsidRPr="001853D9" w14:paraId="3DEE9AAE" w14:textId="77777777" w:rsidTr="003F4366">
        <w:trPr>
          <w:trHeight w:val="186"/>
          <w:jc w:val="center"/>
        </w:trPr>
        <w:tc>
          <w:tcPr>
            <w:tcW w:w="1843" w:type="dxa"/>
            <w:gridSpan w:val="2"/>
            <w:tcBorders>
              <w:top w:val="nil"/>
              <w:left w:val="nil"/>
              <w:bottom w:val="nil"/>
            </w:tcBorders>
            <w:shd w:val="clear" w:color="auto" w:fill="auto"/>
            <w:noWrap/>
            <w:vAlign w:val="bottom"/>
          </w:tcPr>
          <w:p w14:paraId="1BF84FE6"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50-500</w:t>
            </w:r>
          </w:p>
        </w:tc>
        <w:tc>
          <w:tcPr>
            <w:tcW w:w="1487" w:type="dxa"/>
            <w:tcBorders>
              <w:top w:val="nil"/>
              <w:left w:val="nil"/>
              <w:bottom w:val="nil"/>
              <w:right w:val="nil"/>
            </w:tcBorders>
            <w:shd w:val="clear" w:color="auto" w:fill="auto"/>
            <w:noWrap/>
          </w:tcPr>
          <w:p w14:paraId="201DE154"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42,6</w:t>
            </w:r>
          </w:p>
        </w:tc>
        <w:tc>
          <w:tcPr>
            <w:tcW w:w="1701" w:type="dxa"/>
            <w:tcBorders>
              <w:top w:val="nil"/>
              <w:left w:val="nil"/>
              <w:bottom w:val="nil"/>
              <w:right w:val="nil"/>
            </w:tcBorders>
            <w:shd w:val="clear" w:color="auto" w:fill="auto"/>
            <w:noWrap/>
          </w:tcPr>
          <w:p w14:paraId="355A24E4"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71,5</w:t>
            </w:r>
          </w:p>
        </w:tc>
        <w:tc>
          <w:tcPr>
            <w:tcW w:w="1921" w:type="dxa"/>
            <w:tcBorders>
              <w:top w:val="nil"/>
              <w:left w:val="nil"/>
              <w:bottom w:val="nil"/>
              <w:right w:val="nil"/>
            </w:tcBorders>
            <w:shd w:val="clear" w:color="auto" w:fill="auto"/>
            <w:noWrap/>
          </w:tcPr>
          <w:p w14:paraId="5E45FC58"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28,9</w:t>
            </w:r>
          </w:p>
        </w:tc>
      </w:tr>
      <w:tr w:rsidR="005D3C5F" w:rsidRPr="001853D9" w14:paraId="2CEC8682" w14:textId="77777777" w:rsidTr="003F4366">
        <w:trPr>
          <w:trHeight w:val="186"/>
          <w:jc w:val="center"/>
        </w:trPr>
        <w:tc>
          <w:tcPr>
            <w:tcW w:w="1843" w:type="dxa"/>
            <w:gridSpan w:val="2"/>
            <w:tcBorders>
              <w:top w:val="nil"/>
              <w:left w:val="nil"/>
              <w:bottom w:val="nil"/>
            </w:tcBorders>
            <w:shd w:val="clear" w:color="auto" w:fill="auto"/>
            <w:noWrap/>
            <w:vAlign w:val="bottom"/>
            <w:hideMark/>
          </w:tcPr>
          <w:p w14:paraId="05B0CF78"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500-10.000</w:t>
            </w:r>
          </w:p>
        </w:tc>
        <w:tc>
          <w:tcPr>
            <w:tcW w:w="1487" w:type="dxa"/>
            <w:tcBorders>
              <w:top w:val="nil"/>
              <w:left w:val="nil"/>
              <w:bottom w:val="nil"/>
              <w:right w:val="nil"/>
            </w:tcBorders>
            <w:shd w:val="clear" w:color="auto" w:fill="auto"/>
            <w:noWrap/>
          </w:tcPr>
          <w:p w14:paraId="6B13E24B"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3.163,7</w:t>
            </w:r>
          </w:p>
        </w:tc>
        <w:tc>
          <w:tcPr>
            <w:tcW w:w="1701" w:type="dxa"/>
            <w:tcBorders>
              <w:top w:val="nil"/>
              <w:left w:val="nil"/>
              <w:bottom w:val="nil"/>
              <w:right w:val="nil"/>
            </w:tcBorders>
            <w:shd w:val="clear" w:color="auto" w:fill="auto"/>
            <w:noWrap/>
          </w:tcPr>
          <w:p w14:paraId="74DD3DD2"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3.802,7</w:t>
            </w:r>
          </w:p>
        </w:tc>
        <w:tc>
          <w:tcPr>
            <w:tcW w:w="1921" w:type="dxa"/>
            <w:tcBorders>
              <w:top w:val="nil"/>
              <w:left w:val="nil"/>
              <w:bottom w:val="nil"/>
              <w:right w:val="nil"/>
            </w:tcBorders>
            <w:shd w:val="clear" w:color="auto" w:fill="auto"/>
            <w:noWrap/>
          </w:tcPr>
          <w:p w14:paraId="669994C0"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639,0</w:t>
            </w:r>
          </w:p>
        </w:tc>
      </w:tr>
      <w:tr w:rsidR="005D3C5F" w:rsidRPr="001853D9" w14:paraId="5F1ED633" w14:textId="77777777" w:rsidTr="003F4366">
        <w:trPr>
          <w:trHeight w:val="186"/>
          <w:jc w:val="center"/>
        </w:trPr>
        <w:tc>
          <w:tcPr>
            <w:tcW w:w="1843" w:type="dxa"/>
            <w:gridSpan w:val="2"/>
            <w:tcBorders>
              <w:top w:val="nil"/>
              <w:left w:val="nil"/>
              <w:bottom w:val="nil"/>
            </w:tcBorders>
            <w:shd w:val="clear" w:color="auto" w:fill="auto"/>
            <w:noWrap/>
            <w:vAlign w:val="bottom"/>
            <w:hideMark/>
          </w:tcPr>
          <w:p w14:paraId="08F0ED44"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10.000-100.000</w:t>
            </w:r>
          </w:p>
        </w:tc>
        <w:tc>
          <w:tcPr>
            <w:tcW w:w="1487" w:type="dxa"/>
            <w:tcBorders>
              <w:top w:val="nil"/>
              <w:left w:val="nil"/>
              <w:bottom w:val="nil"/>
              <w:right w:val="nil"/>
            </w:tcBorders>
            <w:shd w:val="clear" w:color="auto" w:fill="auto"/>
            <w:noWrap/>
          </w:tcPr>
          <w:p w14:paraId="1DCAFA7C"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10.983,7</w:t>
            </w:r>
          </w:p>
        </w:tc>
        <w:tc>
          <w:tcPr>
            <w:tcW w:w="1701" w:type="dxa"/>
            <w:tcBorders>
              <w:top w:val="nil"/>
              <w:left w:val="nil"/>
              <w:bottom w:val="nil"/>
              <w:right w:val="nil"/>
            </w:tcBorders>
            <w:shd w:val="clear" w:color="auto" w:fill="auto"/>
            <w:noWrap/>
          </w:tcPr>
          <w:p w14:paraId="0EF8240B"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11.992,1</w:t>
            </w:r>
          </w:p>
        </w:tc>
        <w:tc>
          <w:tcPr>
            <w:tcW w:w="1921" w:type="dxa"/>
            <w:tcBorders>
              <w:top w:val="nil"/>
              <w:left w:val="nil"/>
              <w:bottom w:val="nil"/>
              <w:right w:val="nil"/>
            </w:tcBorders>
            <w:shd w:val="clear" w:color="auto" w:fill="auto"/>
            <w:noWrap/>
          </w:tcPr>
          <w:p w14:paraId="608B67ED"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1.008,4</w:t>
            </w:r>
          </w:p>
        </w:tc>
      </w:tr>
      <w:tr w:rsidR="005D3C5F" w:rsidRPr="001853D9" w14:paraId="1A407DA3" w14:textId="77777777" w:rsidTr="003F4366">
        <w:trPr>
          <w:trHeight w:val="186"/>
          <w:jc w:val="center"/>
        </w:trPr>
        <w:tc>
          <w:tcPr>
            <w:tcW w:w="1843" w:type="dxa"/>
            <w:gridSpan w:val="2"/>
            <w:tcBorders>
              <w:top w:val="nil"/>
              <w:left w:val="nil"/>
              <w:bottom w:val="nil"/>
            </w:tcBorders>
            <w:shd w:val="clear" w:color="auto" w:fill="auto"/>
            <w:noWrap/>
            <w:vAlign w:val="bottom"/>
            <w:hideMark/>
          </w:tcPr>
          <w:p w14:paraId="3D0C39F8"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100.000-1.000.000</w:t>
            </w:r>
          </w:p>
        </w:tc>
        <w:tc>
          <w:tcPr>
            <w:tcW w:w="1487" w:type="dxa"/>
            <w:tcBorders>
              <w:top w:val="nil"/>
              <w:left w:val="nil"/>
              <w:bottom w:val="nil"/>
              <w:right w:val="nil"/>
            </w:tcBorders>
            <w:shd w:val="clear" w:color="auto" w:fill="auto"/>
            <w:noWrap/>
          </w:tcPr>
          <w:p w14:paraId="1918B7F6"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6.211,8</w:t>
            </w:r>
          </w:p>
        </w:tc>
        <w:tc>
          <w:tcPr>
            <w:tcW w:w="1701" w:type="dxa"/>
            <w:tcBorders>
              <w:top w:val="nil"/>
              <w:left w:val="nil"/>
              <w:bottom w:val="nil"/>
              <w:right w:val="nil"/>
            </w:tcBorders>
            <w:shd w:val="clear" w:color="auto" w:fill="auto"/>
            <w:noWrap/>
          </w:tcPr>
          <w:p w14:paraId="64561C2D"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6.353,3</w:t>
            </w:r>
          </w:p>
        </w:tc>
        <w:tc>
          <w:tcPr>
            <w:tcW w:w="1921" w:type="dxa"/>
            <w:tcBorders>
              <w:top w:val="nil"/>
              <w:left w:val="nil"/>
              <w:bottom w:val="nil"/>
              <w:right w:val="nil"/>
            </w:tcBorders>
            <w:shd w:val="clear" w:color="auto" w:fill="auto"/>
            <w:noWrap/>
          </w:tcPr>
          <w:p w14:paraId="5683D2F2"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141,5</w:t>
            </w:r>
          </w:p>
        </w:tc>
      </w:tr>
      <w:tr w:rsidR="005D3C5F" w:rsidRPr="001853D9" w14:paraId="12000F70" w14:textId="77777777" w:rsidTr="003F4366">
        <w:trPr>
          <w:trHeight w:val="186"/>
          <w:jc w:val="center"/>
        </w:trPr>
        <w:tc>
          <w:tcPr>
            <w:tcW w:w="1843" w:type="dxa"/>
            <w:gridSpan w:val="2"/>
            <w:tcBorders>
              <w:top w:val="nil"/>
              <w:left w:val="nil"/>
            </w:tcBorders>
            <w:shd w:val="clear" w:color="auto" w:fill="auto"/>
            <w:noWrap/>
            <w:vAlign w:val="bottom"/>
            <w:hideMark/>
          </w:tcPr>
          <w:p w14:paraId="37208306" w14:textId="77777777" w:rsidR="005D3C5F" w:rsidRPr="001853D9" w:rsidRDefault="005D3C5F" w:rsidP="003F4366">
            <w:pPr>
              <w:spacing w:after="0" w:line="276" w:lineRule="auto"/>
              <w:rPr>
                <w:rFonts w:asciiTheme="majorHAnsi" w:eastAsia="Times New Roman" w:hAnsiTheme="majorHAnsi" w:cstheme="majorHAnsi"/>
                <w:bCs/>
                <w:color w:val="595959"/>
                <w:sz w:val="18"/>
                <w:szCs w:val="18"/>
                <w:lang w:eastAsia="el-GR"/>
              </w:rPr>
            </w:pPr>
            <w:r w:rsidRPr="001853D9">
              <w:rPr>
                <w:rFonts w:asciiTheme="majorHAnsi" w:eastAsia="Times New Roman" w:hAnsiTheme="majorHAnsi" w:cstheme="majorHAnsi"/>
                <w:bCs/>
                <w:color w:val="595959"/>
                <w:sz w:val="18"/>
                <w:szCs w:val="18"/>
                <w:lang w:eastAsia="el-GR"/>
              </w:rPr>
              <w:t>&gt;1.000.000</w:t>
            </w:r>
          </w:p>
        </w:tc>
        <w:tc>
          <w:tcPr>
            <w:tcW w:w="1487" w:type="dxa"/>
            <w:tcBorders>
              <w:top w:val="nil"/>
              <w:left w:val="nil"/>
              <w:bottom w:val="nil"/>
              <w:right w:val="nil"/>
            </w:tcBorders>
            <w:shd w:val="clear" w:color="auto" w:fill="auto"/>
            <w:noWrap/>
          </w:tcPr>
          <w:p w14:paraId="754F487B"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4.529,8</w:t>
            </w:r>
          </w:p>
        </w:tc>
        <w:tc>
          <w:tcPr>
            <w:tcW w:w="1701" w:type="dxa"/>
            <w:tcBorders>
              <w:top w:val="nil"/>
              <w:left w:val="nil"/>
              <w:bottom w:val="nil"/>
              <w:right w:val="nil"/>
            </w:tcBorders>
            <w:shd w:val="clear" w:color="auto" w:fill="auto"/>
            <w:noWrap/>
          </w:tcPr>
          <w:p w14:paraId="7D9C8593"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4.620,2</w:t>
            </w:r>
          </w:p>
        </w:tc>
        <w:tc>
          <w:tcPr>
            <w:tcW w:w="1921" w:type="dxa"/>
            <w:tcBorders>
              <w:top w:val="nil"/>
              <w:left w:val="nil"/>
              <w:bottom w:val="nil"/>
              <w:right w:val="nil"/>
            </w:tcBorders>
            <w:shd w:val="clear" w:color="auto" w:fill="auto"/>
            <w:noWrap/>
          </w:tcPr>
          <w:p w14:paraId="78BD5202"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r w:rsidRPr="00E23D88">
              <w:rPr>
                <w:rFonts w:asciiTheme="majorHAnsi" w:eastAsia="Times New Roman" w:hAnsiTheme="majorHAnsi" w:cstheme="majorHAnsi"/>
                <w:color w:val="595959"/>
                <w:sz w:val="18"/>
                <w:szCs w:val="18"/>
                <w:lang w:eastAsia="el-GR"/>
              </w:rPr>
              <w:t>90,3</w:t>
            </w:r>
          </w:p>
        </w:tc>
      </w:tr>
      <w:tr w:rsidR="005D3C5F" w:rsidRPr="001853D9" w14:paraId="5ABAAC10" w14:textId="77777777" w:rsidTr="003F4366">
        <w:trPr>
          <w:trHeight w:val="186"/>
          <w:jc w:val="center"/>
        </w:trPr>
        <w:tc>
          <w:tcPr>
            <w:tcW w:w="1843" w:type="dxa"/>
            <w:gridSpan w:val="2"/>
            <w:tcBorders>
              <w:top w:val="nil"/>
              <w:left w:val="nil"/>
              <w:bottom w:val="single" w:sz="4" w:space="0" w:color="auto"/>
              <w:right w:val="nil"/>
            </w:tcBorders>
            <w:shd w:val="clear" w:color="auto" w:fill="auto"/>
            <w:noWrap/>
            <w:vAlign w:val="bottom"/>
            <w:hideMark/>
          </w:tcPr>
          <w:p w14:paraId="275D0724" w14:textId="77777777" w:rsidR="005D3C5F" w:rsidRPr="001853D9" w:rsidRDefault="005D3C5F" w:rsidP="003F4366">
            <w:pPr>
              <w:spacing w:after="0" w:line="276" w:lineRule="auto"/>
              <w:rPr>
                <w:rFonts w:asciiTheme="majorHAnsi" w:eastAsia="Times New Roman" w:hAnsiTheme="majorHAnsi" w:cstheme="majorHAnsi"/>
                <w:b/>
                <w:bCs/>
                <w:color w:val="595959"/>
                <w:sz w:val="18"/>
                <w:szCs w:val="18"/>
                <w:lang w:eastAsia="el-GR"/>
              </w:rPr>
            </w:pPr>
            <w:r w:rsidRPr="001853D9">
              <w:rPr>
                <w:rFonts w:asciiTheme="majorHAnsi" w:eastAsia="Times New Roman" w:hAnsiTheme="majorHAnsi" w:cstheme="majorHAnsi"/>
                <w:b/>
                <w:bCs/>
                <w:color w:val="595959"/>
                <w:sz w:val="18"/>
                <w:szCs w:val="18"/>
                <w:lang w:eastAsia="el-GR"/>
              </w:rPr>
              <w:t>Σύνολο</w:t>
            </w:r>
          </w:p>
        </w:tc>
        <w:tc>
          <w:tcPr>
            <w:tcW w:w="1487" w:type="dxa"/>
            <w:tcBorders>
              <w:top w:val="nil"/>
              <w:left w:val="nil"/>
              <w:bottom w:val="nil"/>
              <w:right w:val="nil"/>
            </w:tcBorders>
            <w:shd w:val="clear" w:color="auto" w:fill="auto"/>
            <w:noWrap/>
          </w:tcPr>
          <w:p w14:paraId="36E7C68C" w14:textId="77777777" w:rsidR="005D3C5F" w:rsidRPr="00E23D88" w:rsidRDefault="005D3C5F" w:rsidP="003F4366">
            <w:pPr>
              <w:spacing w:after="0" w:line="276" w:lineRule="auto"/>
              <w:jc w:val="center"/>
              <w:rPr>
                <w:rFonts w:asciiTheme="majorHAnsi" w:eastAsia="Times New Roman" w:hAnsiTheme="majorHAnsi" w:cstheme="majorHAnsi"/>
                <w:b/>
                <w:color w:val="595959"/>
                <w:sz w:val="18"/>
                <w:szCs w:val="18"/>
                <w:lang w:eastAsia="el-GR"/>
              </w:rPr>
            </w:pPr>
            <w:r w:rsidRPr="00E23D88">
              <w:rPr>
                <w:rFonts w:asciiTheme="majorHAnsi" w:eastAsia="Times New Roman" w:hAnsiTheme="majorHAnsi" w:cstheme="majorHAnsi"/>
                <w:b/>
                <w:color w:val="595959"/>
                <w:sz w:val="18"/>
                <w:szCs w:val="18"/>
                <w:lang w:eastAsia="el-GR"/>
              </w:rPr>
              <w:t>24.933,1</w:t>
            </w:r>
          </w:p>
        </w:tc>
        <w:tc>
          <w:tcPr>
            <w:tcW w:w="1701" w:type="dxa"/>
            <w:tcBorders>
              <w:top w:val="nil"/>
              <w:left w:val="nil"/>
              <w:bottom w:val="nil"/>
              <w:right w:val="nil"/>
            </w:tcBorders>
            <w:shd w:val="clear" w:color="auto" w:fill="auto"/>
            <w:noWrap/>
          </w:tcPr>
          <w:p w14:paraId="74B8B3DC" w14:textId="77777777" w:rsidR="005D3C5F" w:rsidRPr="00E23D88" w:rsidRDefault="005D3C5F" w:rsidP="003F4366">
            <w:pPr>
              <w:spacing w:after="0" w:line="276" w:lineRule="auto"/>
              <w:jc w:val="center"/>
              <w:rPr>
                <w:rFonts w:asciiTheme="majorHAnsi" w:eastAsia="Times New Roman" w:hAnsiTheme="majorHAnsi" w:cstheme="majorHAnsi"/>
                <w:b/>
                <w:color w:val="595959"/>
                <w:sz w:val="18"/>
                <w:szCs w:val="18"/>
                <w:lang w:eastAsia="el-GR"/>
              </w:rPr>
            </w:pPr>
            <w:r w:rsidRPr="00E23D88">
              <w:rPr>
                <w:rFonts w:asciiTheme="majorHAnsi" w:eastAsia="Times New Roman" w:hAnsiTheme="majorHAnsi" w:cstheme="majorHAnsi"/>
                <w:b/>
                <w:color w:val="595959"/>
                <w:sz w:val="18"/>
                <w:szCs w:val="18"/>
                <w:lang w:eastAsia="el-GR"/>
              </w:rPr>
              <w:t>26.841,6</w:t>
            </w:r>
          </w:p>
        </w:tc>
        <w:tc>
          <w:tcPr>
            <w:tcW w:w="1921" w:type="dxa"/>
            <w:tcBorders>
              <w:top w:val="nil"/>
              <w:left w:val="nil"/>
              <w:bottom w:val="nil"/>
              <w:right w:val="nil"/>
            </w:tcBorders>
            <w:shd w:val="clear" w:color="auto" w:fill="auto"/>
            <w:noWrap/>
          </w:tcPr>
          <w:p w14:paraId="6CD8F84E" w14:textId="77777777" w:rsidR="005D3C5F" w:rsidRPr="00E23D88" w:rsidRDefault="005D3C5F" w:rsidP="003F4366">
            <w:pPr>
              <w:spacing w:after="0" w:line="276" w:lineRule="auto"/>
              <w:jc w:val="center"/>
              <w:rPr>
                <w:rFonts w:asciiTheme="majorHAnsi" w:eastAsia="Times New Roman" w:hAnsiTheme="majorHAnsi" w:cstheme="majorHAnsi"/>
                <w:b/>
                <w:color w:val="595959"/>
                <w:sz w:val="18"/>
                <w:szCs w:val="18"/>
                <w:lang w:eastAsia="el-GR"/>
              </w:rPr>
            </w:pPr>
            <w:r w:rsidRPr="00E23D88">
              <w:rPr>
                <w:rFonts w:asciiTheme="majorHAnsi" w:eastAsia="Times New Roman" w:hAnsiTheme="majorHAnsi" w:cstheme="majorHAnsi"/>
                <w:b/>
                <w:color w:val="595959"/>
                <w:sz w:val="18"/>
                <w:szCs w:val="18"/>
                <w:lang w:eastAsia="el-GR"/>
              </w:rPr>
              <w:t>1.908,5</w:t>
            </w:r>
          </w:p>
        </w:tc>
      </w:tr>
      <w:tr w:rsidR="005D3C5F" w:rsidRPr="001853D9" w14:paraId="6E2E7BAE" w14:textId="77777777" w:rsidTr="003F4366">
        <w:trPr>
          <w:trHeight w:val="186"/>
          <w:jc w:val="center"/>
        </w:trPr>
        <w:tc>
          <w:tcPr>
            <w:tcW w:w="1843" w:type="dxa"/>
            <w:gridSpan w:val="2"/>
            <w:tcBorders>
              <w:top w:val="single" w:sz="4" w:space="0" w:color="auto"/>
              <w:left w:val="nil"/>
              <w:right w:val="nil"/>
            </w:tcBorders>
            <w:shd w:val="clear" w:color="auto" w:fill="auto"/>
            <w:noWrap/>
            <w:vAlign w:val="bottom"/>
          </w:tcPr>
          <w:p w14:paraId="4667D906" w14:textId="77777777" w:rsidR="005D3C5F" w:rsidRPr="001853D9" w:rsidRDefault="005D3C5F" w:rsidP="003F4366">
            <w:pPr>
              <w:spacing w:after="0" w:line="276" w:lineRule="auto"/>
              <w:rPr>
                <w:rFonts w:asciiTheme="majorHAnsi" w:eastAsia="Times New Roman" w:hAnsiTheme="majorHAnsi" w:cstheme="majorHAnsi"/>
                <w:bCs/>
                <w:color w:val="595959"/>
                <w:sz w:val="16"/>
                <w:szCs w:val="16"/>
                <w:lang w:eastAsia="el-GR"/>
              </w:rPr>
            </w:pPr>
            <w:r w:rsidRPr="001853D9">
              <w:rPr>
                <w:rFonts w:asciiTheme="majorHAnsi" w:eastAsia="Times New Roman" w:hAnsiTheme="majorHAnsi" w:cstheme="majorHAnsi"/>
                <w:bCs/>
                <w:color w:val="595959"/>
                <w:sz w:val="16"/>
                <w:szCs w:val="16"/>
                <w:lang w:eastAsia="el-GR"/>
              </w:rPr>
              <w:t>Πηγή: KEAO</w:t>
            </w:r>
          </w:p>
        </w:tc>
        <w:tc>
          <w:tcPr>
            <w:tcW w:w="1487" w:type="dxa"/>
            <w:tcBorders>
              <w:top w:val="single" w:sz="4" w:space="0" w:color="auto"/>
              <w:left w:val="nil"/>
              <w:right w:val="nil"/>
            </w:tcBorders>
            <w:shd w:val="clear" w:color="auto" w:fill="auto"/>
            <w:noWrap/>
            <w:vAlign w:val="bottom"/>
          </w:tcPr>
          <w:p w14:paraId="18FD94A6" w14:textId="77777777" w:rsidR="005D3C5F" w:rsidRPr="001853D9" w:rsidRDefault="005D3C5F" w:rsidP="003F4366">
            <w:pPr>
              <w:spacing w:after="0" w:line="276" w:lineRule="auto"/>
              <w:jc w:val="center"/>
              <w:rPr>
                <w:rFonts w:asciiTheme="majorHAnsi" w:eastAsia="Times New Roman" w:hAnsiTheme="majorHAnsi" w:cstheme="majorHAnsi"/>
                <w:color w:val="595959"/>
                <w:sz w:val="18"/>
                <w:szCs w:val="18"/>
                <w:lang w:eastAsia="el-GR"/>
              </w:rPr>
            </w:pPr>
          </w:p>
        </w:tc>
        <w:tc>
          <w:tcPr>
            <w:tcW w:w="1701" w:type="dxa"/>
            <w:tcBorders>
              <w:top w:val="single" w:sz="4" w:space="0" w:color="auto"/>
              <w:left w:val="nil"/>
              <w:right w:val="nil"/>
            </w:tcBorders>
            <w:shd w:val="clear" w:color="auto" w:fill="auto"/>
            <w:noWrap/>
            <w:vAlign w:val="bottom"/>
          </w:tcPr>
          <w:p w14:paraId="533C5322"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p>
        </w:tc>
        <w:tc>
          <w:tcPr>
            <w:tcW w:w="1921" w:type="dxa"/>
            <w:tcBorders>
              <w:top w:val="single" w:sz="4" w:space="0" w:color="auto"/>
              <w:left w:val="nil"/>
              <w:right w:val="nil"/>
            </w:tcBorders>
            <w:shd w:val="clear" w:color="auto" w:fill="auto"/>
            <w:noWrap/>
            <w:vAlign w:val="bottom"/>
          </w:tcPr>
          <w:p w14:paraId="4C4E2D59" w14:textId="77777777" w:rsidR="005D3C5F" w:rsidRPr="001853D9" w:rsidRDefault="005D3C5F" w:rsidP="003F4366">
            <w:pPr>
              <w:spacing w:after="0" w:line="276" w:lineRule="auto"/>
              <w:jc w:val="center"/>
              <w:rPr>
                <w:rFonts w:asciiTheme="majorHAnsi" w:eastAsia="Times New Roman" w:hAnsiTheme="majorHAnsi" w:cstheme="majorHAnsi"/>
                <w:bCs/>
                <w:color w:val="595959"/>
                <w:sz w:val="18"/>
                <w:szCs w:val="18"/>
                <w:lang w:eastAsia="el-GR"/>
              </w:rPr>
            </w:pPr>
          </w:p>
        </w:tc>
      </w:tr>
    </w:tbl>
    <w:p w14:paraId="084BC5F0" w14:textId="77777777" w:rsidR="0075314C" w:rsidRDefault="0075314C" w:rsidP="0075314C">
      <w:bookmarkStart w:id="139" w:name="_Toc98160534"/>
    </w:p>
    <w:p w14:paraId="5DF54840" w14:textId="77777777" w:rsidR="0075314C" w:rsidRDefault="0075314C" w:rsidP="0075314C"/>
    <w:p w14:paraId="25E1A4B4" w14:textId="77777777" w:rsidR="005409E5" w:rsidRPr="001853D9" w:rsidRDefault="005409E5" w:rsidP="0075314C">
      <w:pPr>
        <w:pStyle w:val="Heading2"/>
        <w:rPr>
          <w:rFonts w:eastAsia="Times New Roman"/>
        </w:rPr>
      </w:pPr>
      <w:r w:rsidRPr="001853D9">
        <w:rPr>
          <w:rFonts w:eastAsia="Times New Roman"/>
        </w:rPr>
        <w:t>2.</w:t>
      </w:r>
      <w:r w:rsidR="00887D02" w:rsidRPr="001853D9">
        <w:rPr>
          <w:rFonts w:eastAsia="Times New Roman"/>
        </w:rPr>
        <w:t>3</w:t>
      </w:r>
      <w:r w:rsidRPr="001853D9">
        <w:rPr>
          <w:rFonts w:eastAsia="Times New Roman"/>
        </w:rPr>
        <w:t>. Δημόσιο χρέος</w:t>
      </w:r>
      <w:bookmarkEnd w:id="118"/>
      <w:bookmarkEnd w:id="119"/>
      <w:bookmarkEnd w:id="120"/>
      <w:bookmarkEnd w:id="139"/>
    </w:p>
    <w:p w14:paraId="5C7864FB" w14:textId="77777777" w:rsidR="005409E5" w:rsidRPr="001853D9" w:rsidRDefault="005409E5" w:rsidP="005A6A28">
      <w:pPr>
        <w:spacing w:after="0" w:line="276" w:lineRule="auto"/>
        <w:jc w:val="both"/>
        <w:rPr>
          <w:rFonts w:asciiTheme="majorHAnsi" w:eastAsia="Times New Roman" w:hAnsiTheme="majorHAnsi" w:cstheme="majorHAnsi"/>
          <w:b/>
          <w:bCs/>
          <w:color w:val="4472C4" w:themeColor="accent1"/>
        </w:rPr>
      </w:pPr>
    </w:p>
    <w:p w14:paraId="11C6D7FD" w14:textId="77777777" w:rsidR="00DE61B4" w:rsidRPr="00E72169" w:rsidRDefault="00DE61B4" w:rsidP="00DE61B4">
      <w:pPr>
        <w:pStyle w:val="Heading3"/>
        <w:spacing w:before="0" w:line="276" w:lineRule="auto"/>
        <w:jc w:val="both"/>
      </w:pPr>
      <w:bookmarkStart w:id="140" w:name="_Toc50131958"/>
      <w:bookmarkStart w:id="141" w:name="_Toc67307437"/>
      <w:bookmarkStart w:id="142" w:name="_Toc74671019"/>
      <w:bookmarkStart w:id="143" w:name="_Toc82238893"/>
      <w:bookmarkStart w:id="144" w:name="_Toc98160535"/>
      <w:r w:rsidRPr="00E72169">
        <w:t xml:space="preserve">Οι </w:t>
      </w:r>
      <w:r w:rsidRPr="00E649DE">
        <w:t>αποδόσεις</w:t>
      </w:r>
      <w:r w:rsidRPr="00E72169">
        <w:t xml:space="preserve"> των δεκαετών τίτλων</w:t>
      </w:r>
      <w:bookmarkEnd w:id="140"/>
      <w:bookmarkEnd w:id="141"/>
      <w:bookmarkEnd w:id="142"/>
      <w:bookmarkEnd w:id="143"/>
      <w:bookmarkEnd w:id="144"/>
    </w:p>
    <w:p w14:paraId="1458C07B" w14:textId="77777777" w:rsidR="00DE61B4" w:rsidRPr="009016DD" w:rsidRDefault="00DE61B4" w:rsidP="00DE61B4">
      <w:pPr>
        <w:spacing w:after="0" w:line="276" w:lineRule="auto"/>
        <w:rPr>
          <w:highlight w:val="yellow"/>
        </w:rPr>
      </w:pPr>
    </w:p>
    <w:p w14:paraId="2BDCF1AC" w14:textId="77777777" w:rsidR="009F5C35" w:rsidRDefault="00DE61B4" w:rsidP="00E15804">
      <w:pPr>
        <w:spacing w:after="0" w:line="276" w:lineRule="auto"/>
        <w:jc w:val="both"/>
        <w:rPr>
          <w:rFonts w:ascii="Calibri" w:eastAsia="Calibri" w:hAnsi="Calibri" w:cs="Times New Roman"/>
          <w:color w:val="595959" w:themeColor="text1" w:themeTint="A6"/>
        </w:rPr>
      </w:pPr>
      <w:r>
        <w:rPr>
          <w:rFonts w:ascii="Calibri" w:eastAsia="Calibri" w:hAnsi="Calibri" w:cs="Times New Roman"/>
          <w:color w:val="595959" w:themeColor="text1" w:themeTint="A6"/>
        </w:rPr>
        <w:t>Παρά τις αβεβαιότητες στις διεθνείς αγορές, οι αποδόσεις των δεκαετών τίτλων του ελληνικού κράτους παραμένουν σχετικά χαμηλές, ωστόσο υπάρχει μια ανοδική τάση  από τα τέλη του προηγούμενου έτους δείχνοντας όμως σημάδια σταθεροποίησης και αντιστροφής της τάσης κατά τον Φεβρουάριο του 2022.</w:t>
      </w:r>
    </w:p>
    <w:p w14:paraId="563015CB" w14:textId="77777777" w:rsidR="00E15804" w:rsidRDefault="00E15804" w:rsidP="00E15804">
      <w:pPr>
        <w:spacing w:after="0" w:line="276" w:lineRule="auto"/>
        <w:jc w:val="both"/>
        <w:rPr>
          <w:rFonts w:ascii="Calibri" w:eastAsia="Calibri" w:hAnsi="Calibri" w:cs="Times New Roman"/>
          <w:color w:val="595959" w:themeColor="text1" w:themeTint="A6"/>
        </w:rPr>
      </w:pPr>
    </w:p>
    <w:p w14:paraId="0DC10370" w14:textId="77777777" w:rsidR="00625EAC" w:rsidRDefault="00625EAC" w:rsidP="00E15804">
      <w:pPr>
        <w:spacing w:after="0" w:line="276" w:lineRule="auto"/>
        <w:jc w:val="both"/>
        <w:rPr>
          <w:rFonts w:ascii="Calibri" w:eastAsia="Calibri" w:hAnsi="Calibri" w:cs="Times New Roman"/>
          <w:color w:val="595959" w:themeColor="text1" w:themeTint="A6"/>
        </w:rPr>
      </w:pPr>
    </w:p>
    <w:p w14:paraId="40AD8860" w14:textId="77777777" w:rsidR="00625EAC" w:rsidRDefault="00625EAC" w:rsidP="00E15804">
      <w:pPr>
        <w:spacing w:after="0" w:line="276" w:lineRule="auto"/>
        <w:jc w:val="both"/>
        <w:rPr>
          <w:rFonts w:ascii="Calibri" w:eastAsia="Calibri" w:hAnsi="Calibri" w:cs="Times New Roman"/>
          <w:color w:val="595959" w:themeColor="text1" w:themeTint="A6"/>
        </w:rPr>
      </w:pPr>
    </w:p>
    <w:p w14:paraId="5C55968D" w14:textId="77777777" w:rsidR="00625EAC" w:rsidRDefault="00625EAC" w:rsidP="00E15804">
      <w:pPr>
        <w:spacing w:after="0" w:line="276" w:lineRule="auto"/>
        <w:jc w:val="both"/>
        <w:rPr>
          <w:rFonts w:ascii="Calibri" w:eastAsia="Calibri" w:hAnsi="Calibri" w:cs="Times New Roman"/>
          <w:color w:val="595959" w:themeColor="text1" w:themeTint="A6"/>
        </w:rPr>
      </w:pPr>
    </w:p>
    <w:p w14:paraId="5A7D8A98" w14:textId="77777777" w:rsidR="00625EAC" w:rsidRDefault="00625EAC" w:rsidP="00E15804">
      <w:pPr>
        <w:spacing w:after="0" w:line="276" w:lineRule="auto"/>
        <w:jc w:val="both"/>
        <w:rPr>
          <w:rFonts w:ascii="Calibri" w:eastAsia="Calibri" w:hAnsi="Calibri" w:cs="Times New Roman"/>
          <w:color w:val="595959" w:themeColor="text1" w:themeTint="A6"/>
        </w:rPr>
      </w:pPr>
    </w:p>
    <w:p w14:paraId="1D3ACE39" w14:textId="77777777" w:rsidR="00625EAC" w:rsidRPr="00E15804" w:rsidRDefault="00625EAC" w:rsidP="00E15804">
      <w:pPr>
        <w:spacing w:after="0" w:line="276" w:lineRule="auto"/>
        <w:jc w:val="both"/>
        <w:rPr>
          <w:rFonts w:ascii="Calibri" w:eastAsia="Calibri" w:hAnsi="Calibri" w:cs="Times New Roman"/>
          <w:color w:val="595959" w:themeColor="text1" w:themeTint="A6"/>
        </w:rPr>
      </w:pPr>
    </w:p>
    <w:p w14:paraId="740634D9" w14:textId="77777777" w:rsidR="00037412" w:rsidRDefault="00037412" w:rsidP="00037412">
      <w:pPr>
        <w:pStyle w:val="Caption"/>
        <w:keepNext/>
        <w:jc w:val="center"/>
      </w:pPr>
      <w:bookmarkStart w:id="145" w:name="_Toc98189623"/>
      <w:r>
        <w:lastRenderedPageBreak/>
        <w:t xml:space="preserve">Διάγραμμα </w:t>
      </w:r>
      <w:r w:rsidR="0059099F">
        <w:fldChar w:fldCharType="begin"/>
      </w:r>
      <w:r w:rsidR="0059099F">
        <w:instrText xml:space="preserve"> SEQ Διάγραμμα \* ARABIC </w:instrText>
      </w:r>
      <w:r w:rsidR="0059099F">
        <w:fldChar w:fldCharType="separate"/>
      </w:r>
      <w:r>
        <w:rPr>
          <w:noProof/>
        </w:rPr>
        <w:t>10</w:t>
      </w:r>
      <w:r w:rsidR="0059099F">
        <w:rPr>
          <w:noProof/>
        </w:rPr>
        <w:fldChar w:fldCharType="end"/>
      </w:r>
      <w:r w:rsidRPr="00037412">
        <w:t xml:space="preserve"> </w:t>
      </w:r>
      <w:r w:rsidRPr="00B533E2">
        <w:t>Αποδόσεις δεκαετών ομολόγων</w:t>
      </w:r>
      <w:bookmarkEnd w:id="145"/>
    </w:p>
    <w:p w14:paraId="2D26685D" w14:textId="77777777" w:rsidR="00037412" w:rsidRPr="00037412" w:rsidRDefault="00037412" w:rsidP="005945F6">
      <w:pPr>
        <w:spacing w:after="0"/>
      </w:pPr>
    </w:p>
    <w:p w14:paraId="357E7142" w14:textId="77777777" w:rsidR="00DE61B4" w:rsidRDefault="00DE61B4" w:rsidP="00DE61B4">
      <w:pPr>
        <w:spacing w:after="0" w:line="276" w:lineRule="auto"/>
        <w:jc w:val="center"/>
        <w:rPr>
          <w:rFonts w:ascii="Calibri" w:eastAsia="Calibri" w:hAnsi="Calibri" w:cs="Times New Roman"/>
          <w:b/>
          <w:color w:val="595959"/>
        </w:rPr>
      </w:pPr>
      <w:r>
        <w:rPr>
          <w:rFonts w:ascii="Calibri" w:eastAsia="Calibri" w:hAnsi="Calibri" w:cs="Times New Roman"/>
          <w:b/>
          <w:noProof/>
          <w:color w:val="595959"/>
          <w:lang w:val="en-US"/>
        </w:rPr>
        <w:drawing>
          <wp:inline distT="0" distB="0" distL="0" distR="0" wp14:anchorId="2375348B" wp14:editId="626D8E10">
            <wp:extent cx="5385600" cy="2350800"/>
            <wp:effectExtent l="0" t="0" r="5715" b="0"/>
            <wp:docPr id="24"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385600" cy="2350800"/>
                    </a:xfrm>
                    <a:prstGeom prst="rect">
                      <a:avLst/>
                    </a:prstGeom>
                  </pic:spPr>
                </pic:pic>
              </a:graphicData>
            </a:graphic>
          </wp:inline>
        </w:drawing>
      </w:r>
    </w:p>
    <w:p w14:paraId="4ECBB0AA" w14:textId="77777777" w:rsidR="00DE61B4" w:rsidRDefault="00DE61B4" w:rsidP="00DE61B4">
      <w:pPr>
        <w:spacing w:after="0" w:line="276" w:lineRule="auto"/>
        <w:jc w:val="center"/>
        <w:rPr>
          <w:rFonts w:ascii="Calibri" w:eastAsia="Calibri" w:hAnsi="Calibri" w:cs="Times New Roman"/>
          <w:b/>
          <w:color w:val="595959"/>
          <w:lang w:val="en-US"/>
        </w:rPr>
      </w:pPr>
    </w:p>
    <w:p w14:paraId="774552BB" w14:textId="77777777" w:rsidR="00DE61B4" w:rsidRDefault="00DE61B4" w:rsidP="00DE61B4">
      <w:pPr>
        <w:spacing w:line="276" w:lineRule="auto"/>
        <w:jc w:val="both"/>
        <w:rPr>
          <w:rFonts w:ascii="Calibri" w:eastAsia="Calibri" w:hAnsi="Calibri" w:cs="Times New Roman"/>
          <w:color w:val="595959" w:themeColor="text1" w:themeTint="A6"/>
        </w:rPr>
      </w:pPr>
      <w:r>
        <w:rPr>
          <w:rFonts w:ascii="Calibri" w:eastAsia="Calibri" w:hAnsi="Calibri" w:cs="Times New Roman"/>
          <w:color w:val="595959" w:themeColor="text1" w:themeTint="A6"/>
        </w:rPr>
        <w:t>Η διαφορά (</w:t>
      </w:r>
      <w:r>
        <w:rPr>
          <w:rFonts w:ascii="Calibri" w:eastAsia="Calibri" w:hAnsi="Calibri" w:cs="Times New Roman"/>
          <w:color w:val="595959" w:themeColor="text1" w:themeTint="A6"/>
          <w:lang w:val="en-US"/>
        </w:rPr>
        <w:t>spread</w:t>
      </w:r>
      <w:r>
        <w:rPr>
          <w:rFonts w:ascii="Calibri" w:eastAsia="Calibri" w:hAnsi="Calibri" w:cs="Times New Roman"/>
          <w:color w:val="595959" w:themeColor="text1" w:themeTint="A6"/>
        </w:rPr>
        <w:t xml:space="preserve">) των ελληνικών 10ετών τίτλων από τους αντίστοιχους της Ευρωζώνης έχει αυξηθεί τους τελευταίους μήνες. Συγκεκριμένα, στις 2 Μαρτίου 2022, η διαφορά από τους γερμανικούς τίτλους είχε διαμορφωθεί στις 232,3 μονάδες βάσης (από 161,3 στις 30/11/2021), από τους πορτογαλικούς τίτλους στις 149,2 μονάδες βάσης (από 93,4 στις 30/11/2021) και από τους ιταλικούς στις 79,6 μονάδες βάσης (από 29,5 στις 30/11/2021). </w:t>
      </w:r>
    </w:p>
    <w:p w14:paraId="3983BC21" w14:textId="77777777" w:rsidR="00DE61B4" w:rsidRPr="0086799B" w:rsidRDefault="00DE61B4" w:rsidP="00DE61B4">
      <w:pPr>
        <w:spacing w:after="0" w:line="276" w:lineRule="auto"/>
        <w:jc w:val="both"/>
        <w:rPr>
          <w:rFonts w:eastAsia="Calibri" w:cstheme="minorHAnsi"/>
          <w:color w:val="595959" w:themeColor="text1" w:themeTint="A6"/>
        </w:rPr>
      </w:pPr>
      <w:r>
        <w:rPr>
          <w:rFonts w:ascii="Calibri" w:eastAsia="Calibri" w:hAnsi="Calibri" w:cs="Times New Roman"/>
          <w:color w:val="595959" w:themeColor="text1" w:themeTint="A6"/>
        </w:rPr>
        <w:t>Καταλυτικό ρόλο στη μείωση των αποδόσεων των ελληνικών κρατικών ομολόγων και στη σύγκλισή τους προς τις αποδόσεις των άλλων χωρών της Ευρωζώνης έπαιξε η συμπερίληψή τους στο έκτακτο πρόγραμμα αγοράς τίτλων λόγω της πανδημίας (</w:t>
      </w:r>
      <w:r>
        <w:rPr>
          <w:rFonts w:ascii="Calibri" w:eastAsia="Calibri" w:hAnsi="Calibri" w:cs="Times New Roman"/>
          <w:color w:val="595959" w:themeColor="text1" w:themeTint="A6"/>
          <w:lang w:val="en-US"/>
        </w:rPr>
        <w:t>PEPP</w:t>
      </w:r>
      <w:r>
        <w:rPr>
          <w:rFonts w:ascii="Calibri" w:eastAsia="Calibri" w:hAnsi="Calibri" w:cs="Times New Roman"/>
          <w:color w:val="595959" w:themeColor="text1" w:themeTint="A6"/>
        </w:rPr>
        <w:t xml:space="preserve">) της Ευρωπαϊκής Κεντρικής Τράπεζας. Ωστόσο, η αβεβαιότητα για την εποχή μετά το </w:t>
      </w:r>
      <w:r>
        <w:rPr>
          <w:rFonts w:ascii="Calibri" w:eastAsia="Calibri" w:hAnsi="Calibri" w:cs="Times New Roman"/>
          <w:color w:val="595959" w:themeColor="text1" w:themeTint="A6"/>
          <w:lang w:val="en-US"/>
        </w:rPr>
        <w:t>PEPP</w:t>
      </w:r>
      <w:r>
        <w:rPr>
          <w:rFonts w:ascii="Calibri" w:eastAsia="Calibri" w:hAnsi="Calibri" w:cs="Times New Roman"/>
          <w:color w:val="595959" w:themeColor="text1" w:themeTint="A6"/>
        </w:rPr>
        <w:t xml:space="preserve"> άρχισε να εμφανίζεται στις αποδόσεις του Νοεμβρίου.</w:t>
      </w:r>
      <w:r w:rsidR="00843E93" w:rsidRPr="0086799B">
        <w:rPr>
          <w:rFonts w:ascii="Calibri" w:eastAsia="Calibri" w:hAnsi="Calibri" w:cs="Times New Roman"/>
          <w:color w:val="595959" w:themeColor="text1" w:themeTint="A6"/>
        </w:rPr>
        <w:t xml:space="preserve"> </w:t>
      </w:r>
      <w:r w:rsidR="00843E93">
        <w:rPr>
          <w:rFonts w:ascii="Calibri" w:eastAsia="Calibri" w:hAnsi="Calibri" w:cs="Times New Roman"/>
          <w:color w:val="595959" w:themeColor="text1" w:themeTint="A6"/>
        </w:rPr>
        <w:t xml:space="preserve">Παρόλα αυτά, </w:t>
      </w:r>
      <w:r w:rsidR="00E856F3">
        <w:rPr>
          <w:rFonts w:ascii="Calibri" w:eastAsia="Calibri" w:hAnsi="Calibri" w:cs="Times New Roman"/>
          <w:color w:val="595959" w:themeColor="text1" w:themeTint="A6"/>
        </w:rPr>
        <w:t>η επέκταση της περιόδου επανεπ</w:t>
      </w:r>
      <w:r w:rsidR="00D2053C">
        <w:rPr>
          <w:rFonts w:ascii="Calibri" w:eastAsia="Calibri" w:hAnsi="Calibri" w:cs="Times New Roman"/>
          <w:color w:val="595959" w:themeColor="text1" w:themeTint="A6"/>
        </w:rPr>
        <w:t>έ</w:t>
      </w:r>
      <w:r w:rsidR="00E856F3">
        <w:rPr>
          <w:rFonts w:ascii="Calibri" w:eastAsia="Calibri" w:hAnsi="Calibri" w:cs="Times New Roman"/>
          <w:color w:val="595959" w:themeColor="text1" w:themeTint="A6"/>
        </w:rPr>
        <w:t>νδυσης τ</w:t>
      </w:r>
      <w:r w:rsidR="00D2053C">
        <w:rPr>
          <w:rFonts w:ascii="Calibri" w:eastAsia="Calibri" w:hAnsi="Calibri" w:cs="Times New Roman"/>
          <w:color w:val="595959" w:themeColor="text1" w:themeTint="A6"/>
        </w:rPr>
        <w:t>ων τίτλων που αγοράστηκαν στο πλαίσιο του</w:t>
      </w:r>
      <w:r w:rsidR="00E856F3">
        <w:rPr>
          <w:rFonts w:ascii="Calibri" w:eastAsia="Calibri" w:hAnsi="Calibri" w:cs="Times New Roman"/>
          <w:color w:val="595959" w:themeColor="text1" w:themeTint="A6"/>
        </w:rPr>
        <w:t xml:space="preserve"> </w:t>
      </w:r>
      <w:r w:rsidR="00E856F3">
        <w:rPr>
          <w:rFonts w:ascii="Calibri" w:eastAsia="Calibri" w:hAnsi="Calibri" w:cs="Times New Roman"/>
          <w:color w:val="595959" w:themeColor="text1" w:themeTint="A6"/>
          <w:lang w:val="en-US"/>
        </w:rPr>
        <w:t>PEPP</w:t>
      </w:r>
      <w:r w:rsidR="00E856F3" w:rsidRPr="0086799B">
        <w:rPr>
          <w:rFonts w:ascii="Calibri" w:eastAsia="Calibri" w:hAnsi="Calibri" w:cs="Times New Roman"/>
          <w:color w:val="595959" w:themeColor="text1" w:themeTint="A6"/>
        </w:rPr>
        <w:t xml:space="preserve"> </w:t>
      </w:r>
      <w:r w:rsidR="00E856F3">
        <w:rPr>
          <w:rFonts w:ascii="Calibri" w:eastAsia="Calibri" w:hAnsi="Calibri" w:cs="Times New Roman"/>
          <w:color w:val="595959" w:themeColor="text1" w:themeTint="A6"/>
        </w:rPr>
        <w:t xml:space="preserve">τουλάχιστον </w:t>
      </w:r>
      <w:r w:rsidR="00D2053C">
        <w:rPr>
          <w:rFonts w:ascii="Calibri" w:eastAsia="Calibri" w:hAnsi="Calibri" w:cs="Times New Roman"/>
          <w:color w:val="595959" w:themeColor="text1" w:themeTint="A6"/>
        </w:rPr>
        <w:t xml:space="preserve">μέχρι </w:t>
      </w:r>
      <w:r w:rsidR="00E856F3">
        <w:rPr>
          <w:rFonts w:ascii="Calibri" w:eastAsia="Calibri" w:hAnsi="Calibri" w:cs="Times New Roman"/>
          <w:color w:val="595959" w:themeColor="text1" w:themeTint="A6"/>
        </w:rPr>
        <w:t>το τέλος του 2024</w:t>
      </w:r>
      <w:r w:rsidR="00D2053C">
        <w:rPr>
          <w:rFonts w:ascii="Calibri" w:eastAsia="Calibri" w:hAnsi="Calibri" w:cs="Times New Roman"/>
          <w:color w:val="595959" w:themeColor="text1" w:themeTint="A6"/>
        </w:rPr>
        <w:t xml:space="preserve"> καθώς και η </w:t>
      </w:r>
      <w:hyperlink r:id="rId62" w:history="1">
        <w:r w:rsidR="00D2053C" w:rsidRPr="00D2053C">
          <w:rPr>
            <w:rStyle w:val="Hyperlink"/>
            <w:rFonts w:ascii="Calibri" w:eastAsia="Calibri" w:hAnsi="Calibri" w:cs="Times New Roman"/>
          </w:rPr>
          <w:t>ευελιξία</w:t>
        </w:r>
      </w:hyperlink>
      <w:r w:rsidR="00D2053C">
        <w:rPr>
          <w:rFonts w:ascii="Calibri" w:eastAsia="Calibri" w:hAnsi="Calibri" w:cs="Times New Roman"/>
          <w:color w:val="595959" w:themeColor="text1" w:themeTint="A6"/>
        </w:rPr>
        <w:t xml:space="preserve"> στις επανεπενδύσεις </w:t>
      </w:r>
      <w:r w:rsidR="00D2053C" w:rsidRPr="0086799B">
        <w:rPr>
          <w:rFonts w:eastAsia="Calibri" w:cstheme="minorHAnsi"/>
          <w:color w:val="595959" w:themeColor="text1" w:themeTint="A6"/>
        </w:rPr>
        <w:t xml:space="preserve">με </w:t>
      </w:r>
      <w:r w:rsidR="00D2053C" w:rsidRPr="0086799B">
        <w:rPr>
          <w:rFonts w:cstheme="minorHAnsi"/>
          <w:color w:val="555555"/>
        </w:rPr>
        <w:t> αγορά</w:t>
      </w:r>
      <w:r w:rsidR="00D2053C">
        <w:rPr>
          <w:rFonts w:cstheme="minorHAnsi"/>
          <w:color w:val="555555"/>
        </w:rPr>
        <w:t xml:space="preserve"> ελληνικών κρατικών</w:t>
      </w:r>
      <w:r w:rsidR="00D2053C" w:rsidRPr="0086799B">
        <w:rPr>
          <w:rFonts w:cstheme="minorHAnsi"/>
          <w:color w:val="555555"/>
        </w:rPr>
        <w:t xml:space="preserve"> ομολόγων επιπλέον της αξίας των ομολόγων που επανεπενδύεται στη λήξη τους αποτελούν παράγοντες που συγκρατούν το κόστος δανεισμού του </w:t>
      </w:r>
      <w:r w:rsidR="00D2053C">
        <w:rPr>
          <w:rFonts w:cstheme="minorHAnsi"/>
          <w:color w:val="555555"/>
        </w:rPr>
        <w:t>Ε</w:t>
      </w:r>
      <w:r w:rsidR="00D2053C" w:rsidRPr="0086799B">
        <w:rPr>
          <w:rFonts w:cstheme="minorHAnsi"/>
          <w:color w:val="555555"/>
        </w:rPr>
        <w:t xml:space="preserve">λληνικού </w:t>
      </w:r>
      <w:r w:rsidR="00D2053C">
        <w:rPr>
          <w:rFonts w:cstheme="minorHAnsi"/>
          <w:color w:val="555555"/>
        </w:rPr>
        <w:t>Δ</w:t>
      </w:r>
      <w:r w:rsidR="00D2053C" w:rsidRPr="0086799B">
        <w:rPr>
          <w:rFonts w:cstheme="minorHAnsi"/>
          <w:color w:val="555555"/>
        </w:rPr>
        <w:t xml:space="preserve">ημοσίου. </w:t>
      </w:r>
    </w:p>
    <w:p w14:paraId="0DD522EC" w14:textId="77777777" w:rsidR="00DE61B4" w:rsidRDefault="00DE61B4" w:rsidP="00DE61B4">
      <w:pPr>
        <w:spacing w:after="0" w:line="276" w:lineRule="auto"/>
        <w:jc w:val="both"/>
      </w:pPr>
    </w:p>
    <w:p w14:paraId="44A95E8C" w14:textId="77777777" w:rsidR="00DE61B4" w:rsidRDefault="00DE61B4" w:rsidP="00DE61B4">
      <w:pPr>
        <w:pStyle w:val="Heading3"/>
        <w:spacing w:before="0" w:line="276" w:lineRule="auto"/>
        <w:jc w:val="both"/>
        <w:rPr>
          <w:rFonts w:ascii="inherit" w:eastAsia="Times New Roman" w:hAnsi="inherit" w:cs="Times New Roman"/>
          <w:color w:val="555555"/>
          <w:sz w:val="27"/>
          <w:szCs w:val="27"/>
          <w:lang w:bidi="he-IL"/>
        </w:rPr>
      </w:pPr>
      <w:bookmarkStart w:id="146" w:name="_Toc98160536"/>
      <w:r w:rsidRPr="00575A7E">
        <w:rPr>
          <w:rFonts w:eastAsia="Times New Roman"/>
        </w:rPr>
        <w:t>Η έκδοση του δεκαετούς ομολόγου</w:t>
      </w:r>
      <w:bookmarkEnd w:id="146"/>
      <w:r w:rsidRPr="008D512F">
        <w:rPr>
          <w:rFonts w:ascii="inherit" w:eastAsia="Times New Roman" w:hAnsi="inherit" w:cs="Times New Roman"/>
          <w:color w:val="555555"/>
          <w:sz w:val="27"/>
          <w:szCs w:val="27"/>
          <w:lang w:bidi="he-IL"/>
        </w:rPr>
        <w:t xml:space="preserve"> </w:t>
      </w:r>
    </w:p>
    <w:p w14:paraId="309CFE25" w14:textId="77777777" w:rsidR="00DE61B4" w:rsidRPr="00DD1444" w:rsidRDefault="00DE61B4" w:rsidP="00DE61B4">
      <w:pPr>
        <w:spacing w:after="0" w:line="276" w:lineRule="auto"/>
        <w:rPr>
          <w:lang w:bidi="he-IL"/>
        </w:rPr>
      </w:pPr>
    </w:p>
    <w:p w14:paraId="11CEB0C1" w14:textId="77777777" w:rsidR="00DE61B4" w:rsidRPr="00575A7E" w:rsidRDefault="00DE61B4" w:rsidP="00DE61B4">
      <w:pPr>
        <w:spacing w:line="276" w:lineRule="auto"/>
        <w:jc w:val="both"/>
        <w:rPr>
          <w:rFonts w:ascii="Calibri" w:eastAsia="Calibri" w:hAnsi="Calibri" w:cs="Times New Roman"/>
          <w:color w:val="595959"/>
        </w:rPr>
      </w:pPr>
      <w:r w:rsidRPr="00D706EC">
        <w:rPr>
          <w:rFonts w:ascii="Calibri" w:eastAsia="Calibri" w:hAnsi="Calibri" w:cs="Times New Roman"/>
          <w:color w:val="595959"/>
        </w:rPr>
        <w:t xml:space="preserve">Το Ελληνικό </w:t>
      </w:r>
      <w:r w:rsidR="00F5327D">
        <w:rPr>
          <w:rFonts w:ascii="Calibri" w:eastAsia="Calibri" w:hAnsi="Calibri" w:cs="Times New Roman"/>
          <w:color w:val="595959"/>
        </w:rPr>
        <w:t>Δ</w:t>
      </w:r>
      <w:r w:rsidRPr="00D706EC">
        <w:rPr>
          <w:rFonts w:ascii="Calibri" w:eastAsia="Calibri" w:hAnsi="Calibri" w:cs="Times New Roman"/>
          <w:color w:val="595959"/>
        </w:rPr>
        <w:t xml:space="preserve">ημόσιο στις </w:t>
      </w:r>
      <w:hyperlink r:id="rId63" w:history="1">
        <w:r w:rsidRPr="00D706EC">
          <w:rPr>
            <w:rStyle w:val="Hyperlink"/>
            <w:rFonts w:ascii="Calibri" w:eastAsia="Calibri" w:hAnsi="Calibri" w:cs="Times New Roman"/>
            <w:color w:val="595959"/>
          </w:rPr>
          <w:t>19/1/2022</w:t>
        </w:r>
      </w:hyperlink>
      <w:r w:rsidRPr="00D706EC">
        <w:rPr>
          <w:rFonts w:ascii="Calibri" w:eastAsia="Calibri" w:hAnsi="Calibri" w:cs="Times New Roman"/>
          <w:color w:val="595959"/>
        </w:rPr>
        <w:t xml:space="preserve"> προέβη σε έκδοση δεκαετούς ομολόγου.</w:t>
      </w:r>
      <w:r w:rsidRPr="00575A7E">
        <w:rPr>
          <w:rFonts w:ascii="Calibri" w:eastAsia="Calibri" w:hAnsi="Calibri" w:cs="Times New Roman"/>
          <w:color w:val="595959"/>
        </w:rPr>
        <w:t xml:space="preserve"> Σύμφωνα με τον </w:t>
      </w:r>
      <w:hyperlink r:id="rId64" w:history="1">
        <w:r w:rsidRPr="00575A7E">
          <w:rPr>
            <w:rStyle w:val="Hyperlink"/>
            <w:color w:val="595959"/>
          </w:rPr>
          <w:t>ΟΔΔΗΧ</w:t>
        </w:r>
      </w:hyperlink>
      <w:r>
        <w:t>,</w:t>
      </w:r>
      <w:r w:rsidRPr="00575A7E">
        <w:rPr>
          <w:rFonts w:ascii="Calibri" w:eastAsia="Calibri" w:hAnsi="Calibri" w:cs="Times New Roman"/>
          <w:color w:val="595959"/>
        </w:rPr>
        <w:t xml:space="preserve"> το </w:t>
      </w:r>
      <w:r w:rsidR="000C5E3B">
        <w:rPr>
          <w:rFonts w:ascii="Calibri" w:eastAsia="Calibri" w:hAnsi="Calibri" w:cs="Times New Roman"/>
          <w:color w:val="595959"/>
        </w:rPr>
        <w:t>Ε</w:t>
      </w:r>
      <w:r w:rsidRPr="00575A7E">
        <w:rPr>
          <w:rFonts w:ascii="Calibri" w:eastAsia="Calibri" w:hAnsi="Calibri" w:cs="Times New Roman"/>
          <w:color w:val="595959"/>
        </w:rPr>
        <w:t xml:space="preserve">λληνικό </w:t>
      </w:r>
      <w:r w:rsidR="000C5E3B">
        <w:rPr>
          <w:rFonts w:ascii="Calibri" w:eastAsia="Calibri" w:hAnsi="Calibri" w:cs="Times New Roman"/>
          <w:color w:val="595959"/>
        </w:rPr>
        <w:t>Δ</w:t>
      </w:r>
      <w:r w:rsidRPr="00575A7E">
        <w:rPr>
          <w:rFonts w:ascii="Calibri" w:eastAsia="Calibri" w:hAnsi="Calibri" w:cs="Times New Roman"/>
          <w:color w:val="595959"/>
        </w:rPr>
        <w:t>ημόσιο άντλησε 3,</w:t>
      </w:r>
      <w:r>
        <w:rPr>
          <w:rFonts w:ascii="Calibri" w:eastAsia="Calibri" w:hAnsi="Calibri" w:cs="Times New Roman"/>
          <w:color w:val="595959"/>
        </w:rPr>
        <w:t>0</w:t>
      </w:r>
      <w:r w:rsidRPr="00575A7E">
        <w:rPr>
          <w:rFonts w:ascii="Calibri" w:eastAsia="Calibri" w:hAnsi="Calibri" w:cs="Times New Roman"/>
          <w:color w:val="595959"/>
        </w:rPr>
        <w:t xml:space="preserve"> δις ευρώ</w:t>
      </w:r>
      <w:r>
        <w:rPr>
          <w:rFonts w:ascii="Calibri" w:eastAsia="Calibri" w:hAnsi="Calibri" w:cs="Times New Roman"/>
          <w:color w:val="595959"/>
        </w:rPr>
        <w:t>,</w:t>
      </w:r>
      <w:r w:rsidRPr="00575A7E">
        <w:rPr>
          <w:rFonts w:ascii="Calibri" w:eastAsia="Calibri" w:hAnsi="Calibri" w:cs="Times New Roman"/>
          <w:color w:val="595959"/>
        </w:rPr>
        <w:t xml:space="preserve"> με απόδοση </w:t>
      </w:r>
      <w:r>
        <w:rPr>
          <w:rFonts w:ascii="Calibri" w:eastAsia="Calibri" w:hAnsi="Calibri" w:cs="Times New Roman"/>
          <w:color w:val="595959"/>
        </w:rPr>
        <w:t>1,836</w:t>
      </w:r>
      <w:r w:rsidRPr="00575A7E">
        <w:rPr>
          <w:rFonts w:ascii="Calibri" w:eastAsia="Calibri" w:hAnsi="Calibri" w:cs="Times New Roman"/>
          <w:color w:val="595959"/>
        </w:rPr>
        <w:t xml:space="preserve">% αρκετά </w:t>
      </w:r>
      <w:r>
        <w:rPr>
          <w:rFonts w:ascii="Calibri" w:eastAsia="Calibri" w:hAnsi="Calibri" w:cs="Times New Roman"/>
          <w:color w:val="595959"/>
        </w:rPr>
        <w:t>υψηλότερη</w:t>
      </w:r>
      <w:r w:rsidRPr="00575A7E">
        <w:rPr>
          <w:rFonts w:ascii="Calibri" w:eastAsia="Calibri" w:hAnsi="Calibri" w:cs="Times New Roman"/>
          <w:color w:val="595959"/>
        </w:rPr>
        <w:t xml:space="preserve"> από </w:t>
      </w:r>
      <w:r w:rsidRPr="00E57B42">
        <w:rPr>
          <w:rFonts w:ascii="Calibri" w:eastAsia="Calibri" w:hAnsi="Calibri" w:cs="Times New Roman"/>
          <w:color w:val="595959"/>
        </w:rPr>
        <w:t xml:space="preserve">την </w:t>
      </w:r>
      <w:hyperlink r:id="rId65" w:history="1">
        <w:r w:rsidRPr="00E57B42">
          <w:rPr>
            <w:rStyle w:val="Hyperlink"/>
            <w:rFonts w:ascii="Calibri" w:eastAsia="Calibri" w:hAnsi="Calibri" w:cs="Times New Roman"/>
            <w:color w:val="595959"/>
          </w:rPr>
          <w:t>έκδοση του Ιουνίου του 2021</w:t>
        </w:r>
      </w:hyperlink>
      <w:r w:rsidRPr="00575A7E">
        <w:rPr>
          <w:rFonts w:ascii="Calibri" w:eastAsia="Calibri" w:hAnsi="Calibri" w:cs="Times New Roman"/>
          <w:color w:val="595959"/>
        </w:rPr>
        <w:t xml:space="preserve"> (απόδοση </w:t>
      </w:r>
      <w:r>
        <w:rPr>
          <w:rFonts w:ascii="Calibri" w:eastAsia="Calibri" w:hAnsi="Calibri" w:cs="Times New Roman"/>
          <w:color w:val="595959"/>
        </w:rPr>
        <w:t>0,888</w:t>
      </w:r>
      <w:r w:rsidRPr="00575A7E">
        <w:rPr>
          <w:rFonts w:ascii="Calibri" w:eastAsia="Calibri" w:hAnsi="Calibri" w:cs="Times New Roman"/>
          <w:color w:val="595959"/>
        </w:rPr>
        <w:t xml:space="preserve">%) και κουπόνι </w:t>
      </w:r>
      <w:r>
        <w:rPr>
          <w:rFonts w:ascii="Calibri" w:eastAsia="Calibri" w:hAnsi="Calibri" w:cs="Times New Roman"/>
          <w:color w:val="595959"/>
        </w:rPr>
        <w:t>1,</w:t>
      </w:r>
      <w:r w:rsidRPr="00575A7E">
        <w:rPr>
          <w:rFonts w:ascii="Calibri" w:eastAsia="Calibri" w:hAnsi="Calibri" w:cs="Times New Roman"/>
          <w:color w:val="595959"/>
        </w:rPr>
        <w:t xml:space="preserve">75%. </w:t>
      </w:r>
      <w:r w:rsidRPr="00575A7E">
        <w:rPr>
          <w:rFonts w:ascii="Calibri" w:eastAsia="Calibri" w:hAnsi="Calibri" w:cs="Times New Roman"/>
          <w:color w:val="595959"/>
          <w:lang w:val="en-US"/>
        </w:rPr>
        <w:t>O</w:t>
      </w:r>
      <w:r w:rsidRPr="00575A7E">
        <w:rPr>
          <w:rFonts w:ascii="Calibri" w:eastAsia="Calibri" w:hAnsi="Calibri" w:cs="Times New Roman"/>
          <w:color w:val="595959"/>
        </w:rPr>
        <w:t>ι προσφορές των επενδυτών (</w:t>
      </w:r>
      <w:r>
        <w:rPr>
          <w:rFonts w:ascii="Calibri" w:eastAsia="Calibri" w:hAnsi="Calibri" w:cs="Times New Roman"/>
          <w:color w:val="595959"/>
        </w:rPr>
        <w:t>179 λογαριασμοί</w:t>
      </w:r>
      <w:r w:rsidRPr="00575A7E">
        <w:rPr>
          <w:rFonts w:ascii="Calibri" w:eastAsia="Calibri" w:hAnsi="Calibri" w:cs="Times New Roman"/>
          <w:color w:val="595959"/>
        </w:rPr>
        <w:t xml:space="preserve">) </w:t>
      </w:r>
      <w:r>
        <w:rPr>
          <w:rFonts w:ascii="Calibri" w:eastAsia="Calibri" w:hAnsi="Calibri" w:cs="Times New Roman"/>
          <w:color w:val="595959"/>
        </w:rPr>
        <w:t xml:space="preserve">έφτασαν </w:t>
      </w:r>
      <w:r w:rsidRPr="00575A7E">
        <w:rPr>
          <w:rFonts w:ascii="Calibri" w:eastAsia="Calibri" w:hAnsi="Calibri" w:cs="Times New Roman"/>
          <w:color w:val="595959"/>
        </w:rPr>
        <w:t xml:space="preserve">τα </w:t>
      </w:r>
      <w:r>
        <w:rPr>
          <w:rFonts w:ascii="Calibri" w:eastAsia="Calibri" w:hAnsi="Calibri" w:cs="Times New Roman"/>
          <w:color w:val="595959"/>
        </w:rPr>
        <w:t>15</w:t>
      </w:r>
      <w:r w:rsidRPr="00575A7E">
        <w:rPr>
          <w:rFonts w:ascii="Calibri" w:eastAsia="Calibri" w:hAnsi="Calibri" w:cs="Times New Roman"/>
          <w:color w:val="595959"/>
        </w:rPr>
        <w:t xml:space="preserve"> δις ευρώ.</w:t>
      </w:r>
    </w:p>
    <w:p w14:paraId="415F9163" w14:textId="77777777" w:rsidR="00DE61B4" w:rsidRPr="00575A7E" w:rsidRDefault="00DE61B4" w:rsidP="00DE61B4">
      <w:pPr>
        <w:spacing w:line="276" w:lineRule="auto"/>
        <w:jc w:val="both"/>
        <w:rPr>
          <w:rFonts w:ascii="Calibri" w:eastAsia="Calibri" w:hAnsi="Calibri" w:cs="Times New Roman"/>
          <w:color w:val="595959"/>
        </w:rPr>
      </w:pPr>
      <w:r>
        <w:rPr>
          <w:rFonts w:ascii="Calibri" w:eastAsia="Calibri" w:hAnsi="Calibri" w:cs="Times New Roman"/>
          <w:color w:val="595959"/>
        </w:rPr>
        <w:t>Και σε αυτήν τη</w:t>
      </w:r>
      <w:r w:rsidRPr="00575A7E">
        <w:rPr>
          <w:rFonts w:ascii="Calibri" w:eastAsia="Calibri" w:hAnsi="Calibri" w:cs="Times New Roman"/>
          <w:color w:val="595959"/>
        </w:rPr>
        <w:t xml:space="preserve"> δημοπρασία</w:t>
      </w:r>
      <w:r>
        <w:rPr>
          <w:rFonts w:ascii="Calibri" w:eastAsia="Calibri" w:hAnsi="Calibri" w:cs="Times New Roman"/>
          <w:color w:val="595959"/>
        </w:rPr>
        <w:t>,</w:t>
      </w:r>
      <w:r w:rsidRPr="00575A7E">
        <w:rPr>
          <w:rFonts w:ascii="Calibri" w:eastAsia="Calibri" w:hAnsi="Calibri" w:cs="Times New Roman"/>
          <w:color w:val="595959"/>
        </w:rPr>
        <w:t xml:space="preserve"> έντονη ήταν η συμμετοχή των ξένων επενδυτών (</w:t>
      </w:r>
      <w:r>
        <w:rPr>
          <w:rFonts w:ascii="Calibri" w:eastAsia="Calibri" w:hAnsi="Calibri" w:cs="Times New Roman"/>
          <w:color w:val="595959"/>
        </w:rPr>
        <w:t>84,5</w:t>
      </w:r>
      <w:r w:rsidRPr="00575A7E">
        <w:rPr>
          <w:rFonts w:ascii="Calibri" w:eastAsia="Calibri" w:hAnsi="Calibri" w:cs="Times New Roman"/>
          <w:color w:val="595959"/>
        </w:rPr>
        <w:t xml:space="preserve">%). Οι κυριότερες συμμετοχές είχαν ως εξής: </w:t>
      </w:r>
      <w:r>
        <w:rPr>
          <w:rFonts w:ascii="Calibri" w:eastAsia="Calibri" w:hAnsi="Calibri" w:cs="Times New Roman"/>
          <w:color w:val="595959"/>
        </w:rPr>
        <w:t>27,1</w:t>
      </w:r>
      <w:r w:rsidRPr="00575A7E">
        <w:rPr>
          <w:rFonts w:ascii="Calibri" w:eastAsia="Calibri" w:hAnsi="Calibri" w:cs="Times New Roman"/>
          <w:color w:val="595959"/>
        </w:rPr>
        <w:t>% από το Ηνωμένο Βασίλειο</w:t>
      </w:r>
      <w:r>
        <w:rPr>
          <w:rFonts w:ascii="Calibri" w:eastAsia="Calibri" w:hAnsi="Calibri" w:cs="Times New Roman"/>
          <w:color w:val="595959"/>
        </w:rPr>
        <w:t xml:space="preserve"> και την Ιρλανδία</w:t>
      </w:r>
      <w:r w:rsidRPr="00575A7E">
        <w:rPr>
          <w:rFonts w:ascii="Calibri" w:eastAsia="Calibri" w:hAnsi="Calibri" w:cs="Times New Roman"/>
          <w:color w:val="595959"/>
        </w:rPr>
        <w:t>, 1</w:t>
      </w:r>
      <w:r>
        <w:rPr>
          <w:rFonts w:ascii="Calibri" w:eastAsia="Calibri" w:hAnsi="Calibri" w:cs="Times New Roman"/>
          <w:color w:val="595959"/>
        </w:rPr>
        <w:t>3,3</w:t>
      </w:r>
      <w:r w:rsidRPr="00575A7E">
        <w:rPr>
          <w:rFonts w:ascii="Calibri" w:eastAsia="Calibri" w:hAnsi="Calibri" w:cs="Times New Roman"/>
          <w:color w:val="595959"/>
        </w:rPr>
        <w:t xml:space="preserve">% από τη Γαλλία, </w:t>
      </w:r>
      <w:r>
        <w:rPr>
          <w:rFonts w:ascii="Calibri" w:eastAsia="Calibri" w:hAnsi="Calibri" w:cs="Times New Roman"/>
          <w:color w:val="595959"/>
        </w:rPr>
        <w:t>9,1</w:t>
      </w:r>
      <w:r w:rsidRPr="00575A7E">
        <w:rPr>
          <w:rFonts w:ascii="Calibri" w:eastAsia="Calibri" w:hAnsi="Calibri" w:cs="Times New Roman"/>
          <w:color w:val="595959"/>
        </w:rPr>
        <w:t>% από Ιταλία</w:t>
      </w:r>
      <w:r>
        <w:rPr>
          <w:rFonts w:ascii="Calibri" w:eastAsia="Calibri" w:hAnsi="Calibri" w:cs="Times New Roman"/>
          <w:color w:val="595959"/>
        </w:rPr>
        <w:t>,</w:t>
      </w:r>
      <w:r w:rsidRPr="00575A7E">
        <w:rPr>
          <w:rFonts w:ascii="Calibri" w:eastAsia="Calibri" w:hAnsi="Calibri" w:cs="Times New Roman"/>
          <w:color w:val="595959"/>
        </w:rPr>
        <w:t xml:space="preserve"> </w:t>
      </w:r>
      <w:r>
        <w:rPr>
          <w:rFonts w:ascii="Calibri" w:eastAsia="Calibri" w:hAnsi="Calibri" w:cs="Times New Roman"/>
          <w:color w:val="595959"/>
        </w:rPr>
        <w:t>8,0</w:t>
      </w:r>
      <w:r w:rsidRPr="00575A7E">
        <w:rPr>
          <w:rFonts w:ascii="Calibri" w:eastAsia="Calibri" w:hAnsi="Calibri" w:cs="Times New Roman"/>
          <w:color w:val="595959"/>
        </w:rPr>
        <w:t xml:space="preserve">% από τις Σκανδιναβικές χώρες, </w:t>
      </w:r>
      <w:r>
        <w:rPr>
          <w:rFonts w:ascii="Calibri" w:eastAsia="Calibri" w:hAnsi="Calibri" w:cs="Times New Roman"/>
          <w:color w:val="595959"/>
        </w:rPr>
        <w:t>7,8</w:t>
      </w:r>
      <w:r w:rsidRPr="00575A7E">
        <w:rPr>
          <w:rFonts w:ascii="Calibri" w:eastAsia="Calibri" w:hAnsi="Calibri" w:cs="Times New Roman"/>
          <w:color w:val="595959"/>
        </w:rPr>
        <w:t>% οι ΗΠΑ, 7</w:t>
      </w:r>
      <w:r>
        <w:rPr>
          <w:rFonts w:ascii="Calibri" w:eastAsia="Calibri" w:hAnsi="Calibri" w:cs="Times New Roman"/>
          <w:color w:val="595959"/>
        </w:rPr>
        <w:t>,2</w:t>
      </w:r>
      <w:r w:rsidRPr="00575A7E">
        <w:rPr>
          <w:rFonts w:ascii="Calibri" w:eastAsia="Calibri" w:hAnsi="Calibri" w:cs="Times New Roman"/>
          <w:color w:val="595959"/>
        </w:rPr>
        <w:t>% οι Γερμανία-Αυστρία</w:t>
      </w:r>
      <w:r>
        <w:rPr>
          <w:rFonts w:ascii="Calibri" w:eastAsia="Calibri" w:hAnsi="Calibri" w:cs="Times New Roman"/>
          <w:color w:val="595959"/>
        </w:rPr>
        <w:t xml:space="preserve">-Ελβετία, 7,2% η </w:t>
      </w:r>
      <w:r w:rsidRPr="00575A7E">
        <w:rPr>
          <w:rFonts w:ascii="Calibri" w:eastAsia="Calibri" w:hAnsi="Calibri" w:cs="Times New Roman"/>
          <w:color w:val="595959"/>
        </w:rPr>
        <w:t xml:space="preserve">Ιβηρική, </w:t>
      </w:r>
      <w:r>
        <w:rPr>
          <w:rFonts w:ascii="Calibri" w:eastAsia="Calibri" w:hAnsi="Calibri" w:cs="Times New Roman"/>
          <w:color w:val="595959"/>
        </w:rPr>
        <w:t>4,4</w:t>
      </w:r>
      <w:r w:rsidRPr="00575A7E">
        <w:rPr>
          <w:rFonts w:ascii="Calibri" w:eastAsia="Calibri" w:hAnsi="Calibri" w:cs="Times New Roman"/>
          <w:color w:val="595959"/>
        </w:rPr>
        <w:t xml:space="preserve">% από την υπόλοιπη Ευρώπη και </w:t>
      </w:r>
      <w:r>
        <w:rPr>
          <w:rFonts w:ascii="Calibri" w:eastAsia="Calibri" w:hAnsi="Calibri" w:cs="Times New Roman"/>
          <w:color w:val="595959"/>
        </w:rPr>
        <w:t>0,4</w:t>
      </w:r>
      <w:r w:rsidRPr="00575A7E">
        <w:rPr>
          <w:rFonts w:ascii="Calibri" w:eastAsia="Calibri" w:hAnsi="Calibri" w:cs="Times New Roman"/>
          <w:color w:val="595959"/>
        </w:rPr>
        <w:t xml:space="preserve">% άλλοι. </w:t>
      </w:r>
    </w:p>
    <w:p w14:paraId="0A59626D" w14:textId="77777777" w:rsidR="00DE61B4" w:rsidRDefault="00DE61B4" w:rsidP="00DE61B4">
      <w:pPr>
        <w:spacing w:after="0" w:line="276" w:lineRule="auto"/>
        <w:jc w:val="both"/>
        <w:rPr>
          <w:rFonts w:ascii="Calibri" w:eastAsia="Calibri" w:hAnsi="Calibri" w:cs="Times New Roman"/>
          <w:color w:val="595959"/>
        </w:rPr>
      </w:pPr>
      <w:r w:rsidRPr="00575A7E">
        <w:rPr>
          <w:rFonts w:ascii="Calibri" w:eastAsia="Calibri" w:hAnsi="Calibri" w:cs="Times New Roman"/>
          <w:color w:val="595959"/>
        </w:rPr>
        <w:lastRenderedPageBreak/>
        <w:t xml:space="preserve">Σχετικά με το είδος των επενδυτών που συμμετείχαν, το </w:t>
      </w:r>
      <w:r>
        <w:rPr>
          <w:rFonts w:ascii="Calibri" w:eastAsia="Calibri" w:hAnsi="Calibri" w:cs="Times New Roman"/>
          <w:color w:val="595959"/>
        </w:rPr>
        <w:t>48,7</w:t>
      </w:r>
      <w:r w:rsidRPr="00575A7E">
        <w:rPr>
          <w:rFonts w:ascii="Calibri" w:eastAsia="Calibri" w:hAnsi="Calibri" w:cs="Times New Roman"/>
          <w:color w:val="595959"/>
        </w:rPr>
        <w:t xml:space="preserve">% ήταν Διαχειριστές </w:t>
      </w:r>
      <w:r>
        <w:rPr>
          <w:rFonts w:ascii="Calibri" w:eastAsia="Calibri" w:hAnsi="Calibri" w:cs="Times New Roman"/>
          <w:color w:val="595959"/>
        </w:rPr>
        <w:t>Κεφαλαίων</w:t>
      </w:r>
      <w:r w:rsidRPr="00575A7E">
        <w:rPr>
          <w:rFonts w:ascii="Calibri" w:eastAsia="Calibri" w:hAnsi="Calibri" w:cs="Times New Roman"/>
          <w:color w:val="595959"/>
        </w:rPr>
        <w:t xml:space="preserve"> (</w:t>
      </w:r>
      <w:r>
        <w:rPr>
          <w:rFonts w:ascii="Calibri" w:eastAsia="Calibri" w:hAnsi="Calibri" w:cs="Times New Roman"/>
          <w:color w:val="595959"/>
          <w:lang w:val="en-US"/>
        </w:rPr>
        <w:t>Fund</w:t>
      </w:r>
      <w:r w:rsidRPr="00575A7E">
        <w:rPr>
          <w:rFonts w:ascii="Calibri" w:eastAsia="Calibri" w:hAnsi="Calibri" w:cs="Times New Roman"/>
          <w:color w:val="595959"/>
        </w:rPr>
        <w:t xml:space="preserve"> </w:t>
      </w:r>
      <w:r w:rsidRPr="00575A7E">
        <w:rPr>
          <w:rFonts w:ascii="Calibri" w:eastAsia="Calibri" w:hAnsi="Calibri" w:cs="Times New Roman"/>
          <w:color w:val="595959"/>
          <w:lang w:val="en-US"/>
        </w:rPr>
        <w:t>Managers</w:t>
      </w:r>
      <w:r w:rsidRPr="00575A7E">
        <w:rPr>
          <w:rFonts w:ascii="Calibri" w:eastAsia="Calibri" w:hAnsi="Calibri" w:cs="Times New Roman"/>
          <w:color w:val="595959"/>
        </w:rPr>
        <w:t xml:space="preserve">), το </w:t>
      </w:r>
      <w:r>
        <w:rPr>
          <w:rFonts w:ascii="Calibri" w:eastAsia="Calibri" w:hAnsi="Calibri" w:cs="Times New Roman"/>
          <w:color w:val="595959"/>
        </w:rPr>
        <w:t>29,8</w:t>
      </w:r>
      <w:r w:rsidRPr="00575A7E">
        <w:rPr>
          <w:rFonts w:ascii="Calibri" w:eastAsia="Calibri" w:hAnsi="Calibri" w:cs="Times New Roman"/>
          <w:color w:val="595959"/>
        </w:rPr>
        <w:t xml:space="preserve">% Τράπεζες, το </w:t>
      </w:r>
      <w:r>
        <w:rPr>
          <w:rFonts w:ascii="Calibri" w:eastAsia="Calibri" w:hAnsi="Calibri" w:cs="Times New Roman"/>
          <w:color w:val="595959"/>
        </w:rPr>
        <w:t>12,8</w:t>
      </w:r>
      <w:r w:rsidRPr="00575A7E">
        <w:rPr>
          <w:rFonts w:ascii="Calibri" w:eastAsia="Calibri" w:hAnsi="Calibri" w:cs="Times New Roman"/>
          <w:color w:val="595959"/>
        </w:rPr>
        <w:t xml:space="preserve">% ήταν </w:t>
      </w:r>
      <w:r w:rsidRPr="00575A7E">
        <w:rPr>
          <w:rFonts w:ascii="Calibri" w:eastAsia="Calibri" w:hAnsi="Calibri" w:cs="Times New Roman"/>
          <w:color w:val="595959"/>
          <w:lang w:val="en-US"/>
        </w:rPr>
        <w:t>Hedge</w:t>
      </w:r>
      <w:r w:rsidRPr="00575A7E">
        <w:rPr>
          <w:rFonts w:ascii="Calibri" w:eastAsia="Calibri" w:hAnsi="Calibri" w:cs="Times New Roman"/>
          <w:color w:val="595959"/>
        </w:rPr>
        <w:t xml:space="preserve"> </w:t>
      </w:r>
      <w:r w:rsidRPr="00575A7E">
        <w:rPr>
          <w:rFonts w:ascii="Calibri" w:eastAsia="Calibri" w:hAnsi="Calibri" w:cs="Times New Roman"/>
          <w:color w:val="595959"/>
          <w:lang w:val="en-US"/>
        </w:rPr>
        <w:t>funds</w:t>
      </w:r>
      <w:r>
        <w:rPr>
          <w:rFonts w:ascii="Calibri" w:eastAsia="Calibri" w:hAnsi="Calibri" w:cs="Times New Roman"/>
          <w:color w:val="595959"/>
        </w:rPr>
        <w:t>,</w:t>
      </w:r>
      <w:r w:rsidRPr="00575A7E">
        <w:rPr>
          <w:rFonts w:ascii="Calibri" w:eastAsia="Calibri" w:hAnsi="Calibri" w:cs="Times New Roman"/>
          <w:color w:val="595959"/>
        </w:rPr>
        <w:t xml:space="preserve"> </w:t>
      </w:r>
      <w:r>
        <w:rPr>
          <w:rFonts w:ascii="Calibri" w:eastAsia="Calibri" w:hAnsi="Calibri" w:cs="Times New Roman"/>
          <w:color w:val="595959"/>
        </w:rPr>
        <w:t xml:space="preserve">το </w:t>
      </w:r>
      <w:r w:rsidRPr="00575A7E">
        <w:rPr>
          <w:rFonts w:ascii="Calibri" w:eastAsia="Calibri" w:hAnsi="Calibri" w:cs="Times New Roman"/>
          <w:color w:val="595959"/>
        </w:rPr>
        <w:t>7,</w:t>
      </w:r>
      <w:r>
        <w:rPr>
          <w:rFonts w:ascii="Calibri" w:eastAsia="Calibri" w:hAnsi="Calibri" w:cs="Times New Roman"/>
          <w:color w:val="595959"/>
        </w:rPr>
        <w:t>3</w:t>
      </w:r>
      <w:r w:rsidRPr="00575A7E">
        <w:rPr>
          <w:rFonts w:ascii="Calibri" w:eastAsia="Calibri" w:hAnsi="Calibri" w:cs="Times New Roman"/>
          <w:color w:val="595959"/>
        </w:rPr>
        <w:t>% Ασφαλιστικά-Συνταξιοδοτικά Ταμεία,</w:t>
      </w:r>
      <w:r>
        <w:rPr>
          <w:rFonts w:ascii="Calibri" w:eastAsia="Calibri" w:hAnsi="Calibri" w:cs="Times New Roman"/>
          <w:color w:val="595959"/>
        </w:rPr>
        <w:t xml:space="preserve"> το 1,1</w:t>
      </w:r>
      <w:r w:rsidRPr="00575A7E">
        <w:rPr>
          <w:rFonts w:ascii="Calibri" w:eastAsia="Calibri" w:hAnsi="Calibri" w:cs="Times New Roman"/>
          <w:color w:val="595959"/>
        </w:rPr>
        <w:t>% κεντρικές τράπεζες</w:t>
      </w:r>
      <w:r>
        <w:rPr>
          <w:rFonts w:ascii="Calibri" w:eastAsia="Calibri" w:hAnsi="Calibri" w:cs="Times New Roman"/>
          <w:color w:val="595959"/>
        </w:rPr>
        <w:t xml:space="preserve"> και το υπόλοιπο 0,3% άλλοι.</w:t>
      </w:r>
    </w:p>
    <w:p w14:paraId="2221B2CF" w14:textId="77777777" w:rsidR="00DE61B4" w:rsidRPr="00E72169" w:rsidRDefault="0059099F" w:rsidP="00DE61B4">
      <w:pPr>
        <w:spacing w:after="0" w:line="276" w:lineRule="auto"/>
        <w:jc w:val="both"/>
        <w:rPr>
          <w:rFonts w:ascii="Calibri" w:eastAsia="Calibri" w:hAnsi="Calibri" w:cs="Times New Roman"/>
          <w:color w:val="595959"/>
        </w:rPr>
      </w:pPr>
      <w:hyperlink w:history="1"/>
    </w:p>
    <w:p w14:paraId="01D5866B" w14:textId="77777777" w:rsidR="00DE61B4" w:rsidRDefault="00DE61B4" w:rsidP="00DE61B4">
      <w:pPr>
        <w:pStyle w:val="Heading3"/>
        <w:spacing w:before="0" w:line="276" w:lineRule="auto"/>
        <w:jc w:val="both"/>
      </w:pPr>
      <w:bookmarkStart w:id="147" w:name="_Toc74671020"/>
      <w:bookmarkStart w:id="148" w:name="_Toc82238894"/>
      <w:bookmarkStart w:id="149" w:name="_Toc98160537"/>
      <w:bookmarkStart w:id="150" w:name="_Toc90033355"/>
      <w:r w:rsidRPr="00426121">
        <w:t>Εκδόσεις εντόκων γραμματίων</w:t>
      </w:r>
      <w:bookmarkEnd w:id="147"/>
      <w:bookmarkEnd w:id="148"/>
      <w:bookmarkEnd w:id="149"/>
      <w:r>
        <w:t xml:space="preserve"> </w:t>
      </w:r>
      <w:bookmarkEnd w:id="150"/>
    </w:p>
    <w:p w14:paraId="77927AD4" w14:textId="77777777" w:rsidR="00DE61B4" w:rsidRPr="00313AF8" w:rsidRDefault="00DE61B4" w:rsidP="00DE61B4">
      <w:pPr>
        <w:spacing w:after="0"/>
        <w:rPr>
          <w:color w:val="595959"/>
        </w:rPr>
      </w:pPr>
    </w:p>
    <w:p w14:paraId="497F0D8E" w14:textId="77777777" w:rsidR="00DE61B4" w:rsidRPr="00C0768F" w:rsidRDefault="00DE61B4" w:rsidP="00DE61B4">
      <w:pPr>
        <w:spacing w:line="276" w:lineRule="auto"/>
        <w:jc w:val="both"/>
        <w:rPr>
          <w:rFonts w:ascii="Calibri" w:eastAsia="Calibri" w:hAnsi="Calibri" w:cs="Times New Roman"/>
          <w:color w:val="595959" w:themeColor="text1" w:themeTint="A6"/>
        </w:rPr>
      </w:pPr>
      <w:r w:rsidRPr="00313AF8">
        <w:rPr>
          <w:rFonts w:ascii="Calibri" w:eastAsia="Calibri" w:hAnsi="Calibri" w:cs="Times New Roman"/>
          <w:color w:val="595959"/>
        </w:rPr>
        <w:t xml:space="preserve">Στις 23 Φεβρουαρίου 2022 διενεργήθηκε </w:t>
      </w:r>
      <w:hyperlink r:id="rId66" w:history="1">
        <w:r w:rsidRPr="00313AF8">
          <w:rPr>
            <w:rStyle w:val="Hyperlink"/>
            <w:rFonts w:ascii="Calibri" w:eastAsia="Calibri" w:hAnsi="Calibri" w:cs="Times New Roman"/>
            <w:color w:val="595959"/>
          </w:rPr>
          <w:t>δημοπρασία εντόκων γραμματίων 26 εβδομάδων</w:t>
        </w:r>
      </w:hyperlink>
      <w:r w:rsidRPr="00313AF8">
        <w:rPr>
          <w:rFonts w:ascii="Calibri" w:eastAsia="Calibri" w:hAnsi="Calibri" w:cs="Times New Roman"/>
          <w:color w:val="595959"/>
        </w:rPr>
        <w:t xml:space="preserve"> ύψους 625 εκατ. ευρώ. Η απόδοση διαμορφώθηκε στο -0,40%, ελαφρώς </w:t>
      </w:r>
      <w:r>
        <w:rPr>
          <w:rFonts w:ascii="Calibri" w:eastAsia="Calibri" w:hAnsi="Calibri" w:cs="Times New Roman"/>
          <w:color w:val="595959" w:themeColor="text1" w:themeTint="A6"/>
        </w:rPr>
        <w:t>αυξημένη</w:t>
      </w:r>
      <w:r w:rsidRPr="00C0768F">
        <w:rPr>
          <w:rFonts w:ascii="Calibri" w:eastAsia="Calibri" w:hAnsi="Calibri" w:cs="Times New Roman"/>
          <w:color w:val="595959" w:themeColor="text1" w:themeTint="A6"/>
        </w:rPr>
        <w:t xml:space="preserve"> από τη δημοπρασία της 2</w:t>
      </w:r>
      <w:r>
        <w:rPr>
          <w:rFonts w:ascii="Calibri" w:eastAsia="Calibri" w:hAnsi="Calibri" w:cs="Times New Roman"/>
          <w:color w:val="595959" w:themeColor="text1" w:themeTint="A6"/>
        </w:rPr>
        <w:t>6</w:t>
      </w:r>
      <w:r w:rsidRPr="00C0768F">
        <w:rPr>
          <w:rFonts w:ascii="Calibri" w:eastAsia="Calibri" w:hAnsi="Calibri" w:cs="Times New Roman"/>
          <w:color w:val="595959" w:themeColor="text1" w:themeTint="A6"/>
          <w:vertAlign w:val="superscript"/>
        </w:rPr>
        <w:t>ης</w:t>
      </w:r>
      <w:r w:rsidRPr="00C0768F">
        <w:rPr>
          <w:rFonts w:ascii="Calibri" w:eastAsia="Calibri" w:hAnsi="Calibri" w:cs="Times New Roman"/>
          <w:color w:val="595959" w:themeColor="text1" w:themeTint="A6"/>
        </w:rPr>
        <w:t xml:space="preserve"> </w:t>
      </w:r>
      <w:r>
        <w:rPr>
          <w:rFonts w:ascii="Calibri" w:eastAsia="Calibri" w:hAnsi="Calibri" w:cs="Times New Roman"/>
          <w:color w:val="595959" w:themeColor="text1" w:themeTint="A6"/>
        </w:rPr>
        <w:t>Ιανουαρίου</w:t>
      </w:r>
      <w:r w:rsidRPr="00F21F0C">
        <w:rPr>
          <w:rFonts w:ascii="Calibri" w:eastAsia="Calibri" w:hAnsi="Calibri" w:cs="Times New Roman"/>
          <w:color w:val="595959" w:themeColor="text1" w:themeTint="A6"/>
        </w:rPr>
        <w:t xml:space="preserve"> </w:t>
      </w:r>
      <w:r w:rsidRPr="00C0768F">
        <w:rPr>
          <w:rFonts w:ascii="Calibri" w:eastAsia="Calibri" w:hAnsi="Calibri" w:cs="Times New Roman"/>
          <w:color w:val="595959" w:themeColor="text1" w:themeTint="A6"/>
        </w:rPr>
        <w:t>202</w:t>
      </w:r>
      <w:r>
        <w:rPr>
          <w:rFonts w:ascii="Calibri" w:eastAsia="Calibri" w:hAnsi="Calibri" w:cs="Times New Roman"/>
          <w:color w:val="595959" w:themeColor="text1" w:themeTint="A6"/>
        </w:rPr>
        <w:t>2 (-0,43%)</w:t>
      </w:r>
      <w:r w:rsidRPr="00C0768F">
        <w:rPr>
          <w:rFonts w:ascii="Calibri" w:eastAsia="Calibri" w:hAnsi="Calibri" w:cs="Times New Roman"/>
          <w:color w:val="595959" w:themeColor="text1" w:themeTint="A6"/>
        </w:rPr>
        <w:t xml:space="preserve">. </w:t>
      </w:r>
    </w:p>
    <w:p w14:paraId="2A37D8C7" w14:textId="77777777" w:rsidR="008A4648" w:rsidRDefault="008A4648" w:rsidP="008A4648">
      <w:pPr>
        <w:spacing w:line="276" w:lineRule="auto"/>
        <w:jc w:val="both"/>
        <w:rPr>
          <w:rFonts w:ascii="Calibri" w:eastAsia="Calibri" w:hAnsi="Calibri" w:cs="Times New Roman"/>
          <w:color w:val="595959"/>
        </w:rPr>
      </w:pPr>
      <w:r>
        <w:rPr>
          <w:rFonts w:ascii="Calibri" w:eastAsia="Calibri" w:hAnsi="Calibri" w:cs="Times New Roman"/>
          <w:color w:val="595959"/>
        </w:rPr>
        <w:t>Στις 9 Μαρτίου 2022 διενεργήθηκε </w:t>
      </w:r>
      <w:hyperlink r:id="rId67" w:history="1">
        <w:r>
          <w:rPr>
            <w:rStyle w:val="Hyperlink"/>
            <w:rFonts w:ascii="Calibri" w:eastAsia="Calibri" w:hAnsi="Calibri" w:cs="Times New Roman"/>
            <w:color w:val="595959"/>
          </w:rPr>
          <w:t>δημοπρασία εντόκων γραμματίων 52 εβδομάδων </w:t>
        </w:r>
      </w:hyperlink>
      <w:r>
        <w:rPr>
          <w:rFonts w:ascii="Calibri" w:eastAsia="Calibri" w:hAnsi="Calibri" w:cs="Times New Roman"/>
          <w:color w:val="595959"/>
        </w:rPr>
        <w:t>ύψους 625 εκατ. ευρώ. Η απόδοση διαμορφώθηκε στο -0,23%, αυξημένη από τη δημοπρασία της 8ης Δεκεμβρίου 2021 (-0,40%).</w:t>
      </w:r>
    </w:p>
    <w:p w14:paraId="3B841C1E" w14:textId="77777777" w:rsidR="00DE61B4" w:rsidRPr="00725B81" w:rsidRDefault="00DE61B4" w:rsidP="00DE61B4">
      <w:pPr>
        <w:spacing w:after="0" w:line="276" w:lineRule="auto"/>
        <w:jc w:val="both"/>
        <w:rPr>
          <w:rFonts w:ascii="Calibri" w:eastAsia="Calibri" w:hAnsi="Calibri" w:cs="Times New Roman"/>
          <w:color w:val="595959" w:themeColor="text1" w:themeTint="A6"/>
        </w:rPr>
      </w:pPr>
      <w:r w:rsidRPr="00C0768F">
        <w:rPr>
          <w:rFonts w:ascii="Calibri" w:eastAsia="Calibri" w:hAnsi="Calibri" w:cs="Times New Roman"/>
          <w:color w:val="595959" w:themeColor="text1" w:themeTint="A6"/>
        </w:rPr>
        <w:t xml:space="preserve">Ενθαρρυντικό ήταν το αποτέλεσμα της </w:t>
      </w:r>
      <w:hyperlink r:id="rId68" w:history="1">
        <w:r w:rsidRPr="00D13F79">
          <w:rPr>
            <w:rStyle w:val="Hyperlink"/>
            <w:rFonts w:ascii="Calibri" w:eastAsia="Calibri" w:hAnsi="Calibri" w:cs="Times New Roman"/>
            <w:color w:val="595959"/>
          </w:rPr>
          <w:t>δημοπρασίας των εντόκων γραμματίων 13 εβδομάδων</w:t>
        </w:r>
      </w:hyperlink>
      <w:r w:rsidRPr="00D13F79">
        <w:rPr>
          <w:rFonts w:ascii="Calibri" w:eastAsia="Calibri" w:hAnsi="Calibri" w:cs="Times New Roman"/>
          <w:color w:val="595959"/>
        </w:rPr>
        <w:t xml:space="preserve">, που διενεργήθηκε στις </w:t>
      </w:r>
      <w:r>
        <w:rPr>
          <w:rFonts w:ascii="Calibri" w:eastAsia="Calibri" w:hAnsi="Calibri" w:cs="Times New Roman"/>
          <w:color w:val="595959"/>
        </w:rPr>
        <w:t>2</w:t>
      </w:r>
      <w:r w:rsidRPr="00D13F79">
        <w:rPr>
          <w:rFonts w:ascii="Calibri" w:eastAsia="Calibri" w:hAnsi="Calibri" w:cs="Times New Roman"/>
          <w:color w:val="595959"/>
        </w:rPr>
        <w:t xml:space="preserve"> Φεβρουαρίου </w:t>
      </w:r>
      <w:r w:rsidRPr="00C0768F">
        <w:rPr>
          <w:rFonts w:ascii="Calibri" w:eastAsia="Calibri" w:hAnsi="Calibri" w:cs="Times New Roman"/>
          <w:color w:val="595959" w:themeColor="text1" w:themeTint="A6"/>
        </w:rPr>
        <w:t>202</w:t>
      </w:r>
      <w:r>
        <w:rPr>
          <w:rFonts w:ascii="Calibri" w:eastAsia="Calibri" w:hAnsi="Calibri" w:cs="Times New Roman"/>
          <w:color w:val="595959" w:themeColor="text1" w:themeTint="A6"/>
        </w:rPr>
        <w:t>2</w:t>
      </w:r>
      <w:r w:rsidRPr="00C0768F">
        <w:rPr>
          <w:rFonts w:ascii="Calibri" w:eastAsia="Calibri" w:hAnsi="Calibri" w:cs="Times New Roman"/>
          <w:color w:val="595959" w:themeColor="text1" w:themeTint="A6"/>
        </w:rPr>
        <w:t>, ύψους 625 εκατ. ευρώ. Η απόδοση διαμο</w:t>
      </w:r>
      <w:r w:rsidRPr="00C0768F">
        <w:rPr>
          <w:rFonts w:ascii="Calibri" w:eastAsia="Calibri" w:hAnsi="Calibri" w:cs="Times New Roman"/>
          <w:color w:val="595959" w:themeColor="text1" w:themeTint="A6"/>
        </w:rPr>
        <w:softHyphen/>
        <w:t>ρφώ</w:t>
      </w:r>
      <w:r w:rsidRPr="00C0768F">
        <w:rPr>
          <w:rFonts w:ascii="Calibri" w:eastAsia="Calibri" w:hAnsi="Calibri" w:cs="Times New Roman"/>
          <w:color w:val="595959" w:themeColor="text1" w:themeTint="A6"/>
        </w:rPr>
        <w:softHyphen/>
        <w:t>θηκε στο -0,4</w:t>
      </w:r>
      <w:r>
        <w:rPr>
          <w:rFonts w:ascii="Calibri" w:eastAsia="Calibri" w:hAnsi="Calibri" w:cs="Times New Roman"/>
          <w:color w:val="595959" w:themeColor="text1" w:themeTint="A6"/>
        </w:rPr>
        <w:t>2</w:t>
      </w:r>
      <w:r w:rsidRPr="00C0768F">
        <w:rPr>
          <w:rFonts w:ascii="Calibri" w:eastAsia="Calibri" w:hAnsi="Calibri" w:cs="Times New Roman"/>
          <w:color w:val="595959" w:themeColor="text1" w:themeTint="A6"/>
        </w:rPr>
        <w:t xml:space="preserve">% </w:t>
      </w:r>
      <w:r>
        <w:rPr>
          <w:rFonts w:ascii="Calibri" w:eastAsia="Calibri" w:hAnsi="Calibri" w:cs="Times New Roman"/>
          <w:color w:val="595959" w:themeColor="text1" w:themeTint="A6"/>
        </w:rPr>
        <w:t>ελαφρώς μειωμένη</w:t>
      </w:r>
      <w:r w:rsidRPr="00C0768F">
        <w:rPr>
          <w:rFonts w:ascii="Calibri" w:eastAsia="Calibri" w:hAnsi="Calibri" w:cs="Times New Roman"/>
          <w:color w:val="595959" w:themeColor="text1" w:themeTint="A6"/>
        </w:rPr>
        <w:t xml:space="preserve"> από τη δημοπρασία της </w:t>
      </w:r>
      <w:r>
        <w:rPr>
          <w:rFonts w:ascii="Calibri" w:eastAsia="Calibri" w:hAnsi="Calibri" w:cs="Times New Roman"/>
          <w:color w:val="595959" w:themeColor="text1" w:themeTint="A6"/>
        </w:rPr>
        <w:t>4</w:t>
      </w:r>
      <w:r w:rsidRPr="00C0768F">
        <w:rPr>
          <w:rFonts w:ascii="Calibri" w:eastAsia="Calibri" w:hAnsi="Calibri" w:cs="Times New Roman"/>
          <w:color w:val="595959" w:themeColor="text1" w:themeTint="A6"/>
          <w:vertAlign w:val="superscript"/>
        </w:rPr>
        <w:t>ης</w:t>
      </w:r>
      <w:r w:rsidRPr="00C0768F">
        <w:rPr>
          <w:rFonts w:ascii="Calibri" w:eastAsia="Calibri" w:hAnsi="Calibri" w:cs="Times New Roman"/>
          <w:color w:val="595959" w:themeColor="text1" w:themeTint="A6"/>
        </w:rPr>
        <w:t xml:space="preserve"> </w:t>
      </w:r>
      <w:r w:rsidRPr="00D13F79">
        <w:rPr>
          <w:rFonts w:ascii="Calibri" w:eastAsia="Calibri" w:hAnsi="Calibri" w:cs="Times New Roman"/>
          <w:color w:val="595959" w:themeColor="text1" w:themeTint="A6"/>
        </w:rPr>
        <w:t>Ιανουαρίου</w:t>
      </w:r>
      <w:r>
        <w:rPr>
          <w:rFonts w:ascii="Calibri" w:eastAsia="Calibri" w:hAnsi="Calibri" w:cs="Times New Roman"/>
          <w:color w:val="595959" w:themeColor="text1" w:themeTint="A6"/>
        </w:rPr>
        <w:t xml:space="preserve"> </w:t>
      </w:r>
      <w:r w:rsidRPr="00C0768F">
        <w:rPr>
          <w:rFonts w:ascii="Calibri" w:eastAsia="Calibri" w:hAnsi="Calibri" w:cs="Times New Roman"/>
          <w:color w:val="595959" w:themeColor="text1" w:themeTint="A6"/>
        </w:rPr>
        <w:t>202</w:t>
      </w:r>
      <w:r>
        <w:rPr>
          <w:rFonts w:ascii="Calibri" w:eastAsia="Calibri" w:hAnsi="Calibri" w:cs="Times New Roman"/>
          <w:color w:val="595959" w:themeColor="text1" w:themeTint="A6"/>
        </w:rPr>
        <w:t>2 (-0,40%)</w:t>
      </w:r>
      <w:r w:rsidRPr="00C0768F">
        <w:rPr>
          <w:rFonts w:ascii="Calibri" w:eastAsia="Calibri" w:hAnsi="Calibri" w:cs="Times New Roman"/>
          <w:color w:val="595959" w:themeColor="text1" w:themeTint="A6"/>
        </w:rPr>
        <w:t>.</w:t>
      </w:r>
    </w:p>
    <w:p w14:paraId="56376BDC" w14:textId="77777777" w:rsidR="00CC15CE" w:rsidRPr="001853D9" w:rsidRDefault="00CC15CE" w:rsidP="005A6A28">
      <w:pPr>
        <w:spacing w:after="0" w:line="276" w:lineRule="auto"/>
        <w:jc w:val="both"/>
        <w:rPr>
          <w:rFonts w:asciiTheme="majorHAnsi" w:hAnsiTheme="majorHAnsi" w:cstheme="majorHAnsi"/>
        </w:rPr>
      </w:pPr>
    </w:p>
    <w:bookmarkEnd w:id="121"/>
    <w:bookmarkEnd w:id="122"/>
    <w:p w14:paraId="2731C345" w14:textId="77777777" w:rsidR="009639DE" w:rsidRPr="001853D9" w:rsidRDefault="009639DE" w:rsidP="005A6A28">
      <w:pPr>
        <w:spacing w:after="0" w:line="276" w:lineRule="auto"/>
        <w:jc w:val="both"/>
        <w:rPr>
          <w:rFonts w:asciiTheme="majorHAnsi" w:eastAsia="Calibri" w:hAnsiTheme="majorHAnsi" w:cstheme="majorHAnsi"/>
          <w:color w:val="595959"/>
        </w:rPr>
      </w:pPr>
    </w:p>
    <w:p w14:paraId="3B1CFA92" w14:textId="77777777" w:rsidR="006B6E23" w:rsidRPr="001853D9" w:rsidRDefault="006B6E23" w:rsidP="005A6A28">
      <w:pPr>
        <w:spacing w:after="0" w:line="276" w:lineRule="auto"/>
        <w:jc w:val="both"/>
        <w:rPr>
          <w:rFonts w:asciiTheme="majorHAnsi" w:eastAsia="Calibri" w:hAnsiTheme="majorHAnsi" w:cstheme="majorHAnsi"/>
          <w:color w:val="595959"/>
        </w:rPr>
      </w:pPr>
    </w:p>
    <w:p w14:paraId="61C577F9" w14:textId="77777777" w:rsidR="00FB5412" w:rsidRDefault="003A26DE" w:rsidP="005A6A28">
      <w:pPr>
        <w:rPr>
          <w:rFonts w:asciiTheme="majorHAnsi" w:hAnsiTheme="majorHAnsi" w:cstheme="majorHAnsi"/>
        </w:rPr>
      </w:pPr>
      <w:bookmarkStart w:id="151" w:name="_Toc1387154"/>
      <w:bookmarkStart w:id="152" w:name="_Toc9685050"/>
      <w:bookmarkEnd w:id="110"/>
      <w:bookmarkEnd w:id="111"/>
      <w:r w:rsidRPr="001853D9">
        <w:rPr>
          <w:rFonts w:asciiTheme="majorHAnsi" w:hAnsiTheme="majorHAnsi" w:cstheme="majorHAnsi"/>
        </w:rPr>
        <w:br w:type="page"/>
      </w:r>
    </w:p>
    <w:p w14:paraId="6F98697D" w14:textId="77777777" w:rsidR="008D195D" w:rsidRPr="008D195D" w:rsidRDefault="008D195D" w:rsidP="00185482">
      <w:pPr>
        <w:pStyle w:val="Heading1"/>
        <w:jc w:val="center"/>
      </w:pPr>
      <w:bookmarkStart w:id="153" w:name="_Toc82689380"/>
      <w:bookmarkStart w:id="154" w:name="_Toc82713978"/>
      <w:bookmarkStart w:id="155" w:name="_Toc82714712"/>
      <w:bookmarkStart w:id="156" w:name="_Toc98160538"/>
      <w:bookmarkStart w:id="157" w:name="_Toc15911901"/>
      <w:r w:rsidRPr="008D195D">
        <w:lastRenderedPageBreak/>
        <w:t>3. Διαρθρωτικές εξελίξεις</w:t>
      </w:r>
      <w:bookmarkEnd w:id="153"/>
      <w:bookmarkEnd w:id="154"/>
      <w:bookmarkEnd w:id="155"/>
      <w:bookmarkEnd w:id="156"/>
    </w:p>
    <w:p w14:paraId="4513DF0A" w14:textId="77777777" w:rsidR="008D195D" w:rsidRPr="008D195D" w:rsidRDefault="008D195D" w:rsidP="008D195D">
      <w:pPr>
        <w:spacing w:after="0" w:line="276" w:lineRule="auto"/>
        <w:jc w:val="both"/>
        <w:rPr>
          <w:rFonts w:asciiTheme="majorHAnsi" w:eastAsia="Calibri" w:hAnsiTheme="majorHAnsi" w:cstheme="majorHAnsi"/>
          <w:color w:val="595959" w:themeColor="text1" w:themeTint="A6"/>
        </w:rPr>
      </w:pPr>
    </w:p>
    <w:p w14:paraId="26605B93" w14:textId="77777777" w:rsidR="008D195D" w:rsidRPr="008D195D" w:rsidRDefault="008D195D" w:rsidP="00595F8E">
      <w:pPr>
        <w:pStyle w:val="Heading2"/>
        <w:spacing w:before="0"/>
        <w:rPr>
          <w:rFonts w:eastAsia="Times New Roman"/>
        </w:rPr>
      </w:pPr>
      <w:bookmarkStart w:id="158" w:name="_Toc8222131"/>
      <w:bookmarkStart w:id="159" w:name="_Toc9685045"/>
      <w:bookmarkStart w:id="160" w:name="_Toc15911898"/>
      <w:bookmarkStart w:id="161" w:name="_Toc23936601"/>
      <w:bookmarkStart w:id="162" w:name="_Toc33093589"/>
      <w:bookmarkStart w:id="163" w:name="_Toc40706007"/>
      <w:bookmarkStart w:id="164" w:name="_Toc82689381"/>
      <w:bookmarkStart w:id="165" w:name="_Toc82713979"/>
      <w:bookmarkStart w:id="166" w:name="_Toc82714713"/>
      <w:bookmarkStart w:id="167" w:name="_Toc98160539"/>
      <w:r w:rsidRPr="008D195D">
        <w:rPr>
          <w:rFonts w:eastAsia="Times New Roman"/>
        </w:rPr>
        <w:t xml:space="preserve">3.1. Κοινωνική </w:t>
      </w:r>
      <w:bookmarkEnd w:id="158"/>
      <w:bookmarkEnd w:id="159"/>
      <w:bookmarkEnd w:id="160"/>
      <w:bookmarkEnd w:id="161"/>
      <w:r w:rsidRPr="008D195D">
        <w:rPr>
          <w:rFonts w:eastAsia="Times New Roman"/>
        </w:rPr>
        <w:t>ασφάλιση</w:t>
      </w:r>
      <w:bookmarkEnd w:id="162"/>
      <w:bookmarkEnd w:id="163"/>
      <w:bookmarkEnd w:id="164"/>
      <w:bookmarkEnd w:id="165"/>
      <w:bookmarkEnd w:id="166"/>
      <w:bookmarkEnd w:id="167"/>
    </w:p>
    <w:p w14:paraId="59A5E12E" w14:textId="77777777" w:rsidR="003A743F" w:rsidRPr="00575A7E" w:rsidRDefault="003A743F" w:rsidP="003A743F">
      <w:pPr>
        <w:tabs>
          <w:tab w:val="left" w:pos="1032"/>
        </w:tabs>
        <w:spacing w:after="0" w:line="276" w:lineRule="auto"/>
      </w:pPr>
    </w:p>
    <w:p w14:paraId="4BBC8630" w14:textId="77777777" w:rsidR="00D47A7E" w:rsidRPr="001C2724" w:rsidRDefault="00D47A7E" w:rsidP="00D47A7E">
      <w:pPr>
        <w:spacing w:line="276" w:lineRule="auto"/>
        <w:jc w:val="both"/>
        <w:rPr>
          <w:rFonts w:ascii="Calibri" w:eastAsia="Calibri" w:hAnsi="Calibri" w:cs="Times New Roman"/>
          <w:color w:val="595959" w:themeColor="text1" w:themeTint="A6"/>
        </w:rPr>
      </w:pPr>
      <w:r w:rsidRPr="001C2724">
        <w:rPr>
          <w:rFonts w:ascii="Calibri" w:eastAsia="Calibri" w:hAnsi="Calibri" w:cs="Times New Roman"/>
          <w:color w:val="595959" w:themeColor="text1" w:themeTint="A6"/>
        </w:rPr>
        <w:t xml:space="preserve">Η εκτέλεση του προϋπολογισμού των ασφαλιστικών ταμείων στο τέλος του έτους 2021 εμφανίζει </w:t>
      </w:r>
      <w:r w:rsidR="0086799B">
        <w:rPr>
          <w:rFonts w:ascii="Calibri" w:eastAsia="Calibri" w:hAnsi="Calibri" w:cs="Times New Roman"/>
          <w:color w:val="595959" w:themeColor="text1" w:themeTint="A6"/>
        </w:rPr>
        <w:t xml:space="preserve">πλεόνασμα ύψους 345 εκατ. ευρώ, </w:t>
      </w:r>
      <w:r w:rsidRPr="001C2724">
        <w:rPr>
          <w:rFonts w:ascii="Calibri" w:eastAsia="Calibri" w:hAnsi="Calibri" w:cs="Times New Roman"/>
          <w:color w:val="595959" w:themeColor="text1" w:themeTint="A6"/>
        </w:rPr>
        <w:t xml:space="preserve">μειωμένο κατά 221 εκατ. ευρώ σε σχέση με το 2020 (πλεόνασμα 565 εκατ. ευρώ), καθώς τα έσοδα είναι αυξημένα κατά 163 εκατ. ευρώ και οι δαπάνες αυξημένες κατά 384 εκατ. ευρώ. </w:t>
      </w:r>
    </w:p>
    <w:p w14:paraId="1A74CF88" w14:textId="77777777" w:rsidR="00D47A7E" w:rsidRPr="001C2724" w:rsidRDefault="00D47A7E" w:rsidP="00D47A7E">
      <w:pPr>
        <w:spacing w:after="0" w:line="276" w:lineRule="auto"/>
        <w:jc w:val="both"/>
        <w:rPr>
          <w:rFonts w:ascii="Calibri" w:eastAsia="Calibri" w:hAnsi="Calibri" w:cs="Times New Roman"/>
          <w:color w:val="595959" w:themeColor="text1" w:themeTint="A6"/>
        </w:rPr>
      </w:pPr>
      <w:r w:rsidRPr="001C2724">
        <w:rPr>
          <w:rFonts w:ascii="Calibri" w:eastAsia="Calibri" w:hAnsi="Calibri" w:cs="Times New Roman"/>
          <w:color w:val="595959" w:themeColor="text1" w:themeTint="A6"/>
        </w:rPr>
        <w:t xml:space="preserve">Σε σχέση με το έτος 2020, τα έσοδα από εισφορές και ρυθμίσεις οφειλών </w:t>
      </w:r>
      <w:r w:rsidR="0086799B">
        <w:rPr>
          <w:rFonts w:ascii="Calibri" w:eastAsia="Calibri" w:hAnsi="Calibri" w:cs="Times New Roman"/>
          <w:color w:val="595959" w:themeColor="text1" w:themeTint="A6"/>
        </w:rPr>
        <w:t xml:space="preserve">του 2021 </w:t>
      </w:r>
      <w:r w:rsidRPr="001C2724">
        <w:rPr>
          <w:rFonts w:ascii="Calibri" w:eastAsia="Calibri" w:hAnsi="Calibri" w:cs="Times New Roman"/>
          <w:color w:val="595959" w:themeColor="text1" w:themeTint="A6"/>
        </w:rPr>
        <w:t>είναι</w:t>
      </w:r>
      <w:r w:rsidR="0086799B">
        <w:rPr>
          <w:rFonts w:ascii="Calibri" w:eastAsia="Calibri" w:hAnsi="Calibri" w:cs="Times New Roman"/>
          <w:color w:val="595959" w:themeColor="text1" w:themeTint="A6"/>
        </w:rPr>
        <w:t xml:space="preserve"> </w:t>
      </w:r>
      <w:r w:rsidRPr="001C2724">
        <w:rPr>
          <w:rFonts w:ascii="Calibri" w:eastAsia="Calibri" w:hAnsi="Calibri" w:cs="Times New Roman"/>
          <w:color w:val="595959" w:themeColor="text1" w:themeTint="A6"/>
        </w:rPr>
        <w:t xml:space="preserve">αυξημένα κατά 1.261 εκατ. ευρώ, οι εισπράξεις υπέρ τρίτων εμφανίζονται αυξημένες κατά 161 εκατ. ευρώ, ενώ οι μεταβιβάσεις από τον κρατικό προϋπολογισμό παρουσιάζουν οριακή αύξηση κατά 7 εκατ. ευρώ. Σημειώνεται ότι η παρατηρούμενη μεγάλη μείωση (κατά 1.266 εκατ. ευρώ) το 2021 στα </w:t>
      </w:r>
      <w:r w:rsidRPr="00F0588D">
        <w:rPr>
          <w:rFonts w:ascii="Calibri" w:eastAsia="Calibri" w:hAnsi="Calibri" w:cs="Times New Roman"/>
          <w:color w:val="595959" w:themeColor="text1" w:themeTint="A6"/>
        </w:rPr>
        <w:t>“</w:t>
      </w:r>
      <w:r w:rsidRPr="001C2724">
        <w:rPr>
          <w:rFonts w:ascii="Calibri" w:eastAsia="Calibri" w:hAnsi="Calibri" w:cs="Times New Roman"/>
          <w:color w:val="595959" w:themeColor="text1" w:themeTint="A6"/>
        </w:rPr>
        <w:t>άλλα έσοδα</w:t>
      </w:r>
      <w:r w:rsidRPr="00F0588D">
        <w:rPr>
          <w:rFonts w:ascii="Calibri" w:eastAsia="Calibri" w:hAnsi="Calibri" w:cs="Times New Roman"/>
          <w:color w:val="595959" w:themeColor="text1" w:themeTint="A6"/>
        </w:rPr>
        <w:t>”</w:t>
      </w:r>
      <w:r w:rsidRPr="001C2724">
        <w:rPr>
          <w:rFonts w:ascii="Calibri" w:eastAsia="Calibri" w:hAnsi="Calibri" w:cs="Times New Roman"/>
          <w:color w:val="595959" w:themeColor="text1" w:themeTint="A6"/>
        </w:rPr>
        <w:t xml:space="preserve"> οφείλεται κατά κύριο λόγο στην μη επανάληψη της μεταβίβασης ποσών για την καταβολή αναδρομικών συντάξεων (1.400 εκατ. ευρώ τον Οκτώβριο 2020), η οποία αντισταθμίστηκε εν μέρει από την επιχορήγηση 245 εκατ. ευρώ το 2021 για την κάλυψη της απώλειας εσόδων από κοινωνικούς πόρους </w:t>
      </w:r>
      <w:r>
        <w:rPr>
          <w:rFonts w:ascii="Calibri" w:eastAsia="Calibri" w:hAnsi="Calibri" w:cs="Times New Roman"/>
          <w:color w:val="595959" w:themeColor="text1" w:themeTint="A6"/>
        </w:rPr>
        <w:t>(μείωση 272 εκατ. ευρώ σε σχέση με το 2020)</w:t>
      </w:r>
      <w:r w:rsidRPr="001C2724">
        <w:rPr>
          <w:rFonts w:ascii="Calibri" w:eastAsia="Calibri" w:hAnsi="Calibri" w:cs="Times New Roman"/>
          <w:color w:val="595959" w:themeColor="text1" w:themeTint="A6"/>
        </w:rPr>
        <w:t xml:space="preserve"> και ειδικότερα από τον ΟΑΕΔ προς τον </w:t>
      </w:r>
      <w:r w:rsidRPr="001C2724">
        <w:rPr>
          <w:rFonts w:ascii="Calibri" w:eastAsia="Calibri" w:hAnsi="Calibri" w:cs="Times New Roman"/>
          <w:color w:val="595959" w:themeColor="text1" w:themeTint="A6"/>
          <w:lang w:val="en-US"/>
        </w:rPr>
        <w:t>e</w:t>
      </w:r>
      <w:r w:rsidRPr="001C2724">
        <w:rPr>
          <w:rFonts w:ascii="Calibri" w:eastAsia="Calibri" w:hAnsi="Calibri" w:cs="Times New Roman"/>
          <w:color w:val="595959" w:themeColor="text1" w:themeTint="A6"/>
        </w:rPr>
        <w:t>-ΕΦΚΑ μετά τη μείωση των σχετικών εισφορών για τους μισθωτούς</w:t>
      </w:r>
      <w:r>
        <w:rPr>
          <w:rFonts w:ascii="Calibri" w:eastAsia="Calibri" w:hAnsi="Calibri" w:cs="Times New Roman"/>
          <w:color w:val="595959" w:themeColor="text1" w:themeTint="A6"/>
        </w:rPr>
        <w:t>.</w:t>
      </w:r>
    </w:p>
    <w:p w14:paraId="0E4A640F" w14:textId="77777777" w:rsidR="00D47A7E" w:rsidRPr="00BE6D01" w:rsidRDefault="00D47A7E" w:rsidP="00D47A7E">
      <w:pPr>
        <w:pStyle w:val="Caption"/>
        <w:keepNext/>
        <w:spacing w:after="0" w:line="276" w:lineRule="auto"/>
        <w:rPr>
          <w:i w:val="0"/>
          <w:iCs w:val="0"/>
          <w:color w:val="70AD47" w:themeColor="accent6"/>
          <w:sz w:val="22"/>
          <w:szCs w:val="22"/>
        </w:rPr>
      </w:pPr>
      <w:bookmarkStart w:id="168" w:name="_Toc1387084"/>
    </w:p>
    <w:p w14:paraId="56ED4A25" w14:textId="77777777" w:rsidR="00D47A7E" w:rsidRPr="00083341" w:rsidRDefault="00D47A7E" w:rsidP="00D47A7E">
      <w:pPr>
        <w:pStyle w:val="Caption"/>
        <w:jc w:val="center"/>
        <w:rPr>
          <w:color w:val="595959" w:themeColor="text1" w:themeTint="A6"/>
        </w:rPr>
      </w:pPr>
      <w:bookmarkStart w:id="169" w:name="_Toc67391716"/>
      <w:bookmarkStart w:id="170" w:name="_Toc98160551"/>
      <w:r w:rsidRPr="00083341">
        <w:rPr>
          <w:color w:val="595959" w:themeColor="text1" w:themeTint="A6"/>
        </w:rPr>
        <w:t xml:space="preserve">Πίνακας </w:t>
      </w:r>
      <w:r w:rsidR="009B7AD0" w:rsidRPr="00083341">
        <w:rPr>
          <w:noProof/>
          <w:color w:val="595959" w:themeColor="text1" w:themeTint="A6"/>
        </w:rPr>
        <w:fldChar w:fldCharType="begin"/>
      </w:r>
      <w:r w:rsidRPr="00083341">
        <w:rPr>
          <w:noProof/>
          <w:color w:val="595959" w:themeColor="text1" w:themeTint="A6"/>
        </w:rPr>
        <w:instrText xml:space="preserve"> SEQ Πίνακας \* ARABIC </w:instrText>
      </w:r>
      <w:r w:rsidR="009B7AD0" w:rsidRPr="00083341">
        <w:rPr>
          <w:noProof/>
          <w:color w:val="595959" w:themeColor="text1" w:themeTint="A6"/>
        </w:rPr>
        <w:fldChar w:fldCharType="separate"/>
      </w:r>
      <w:r w:rsidR="003B23C4">
        <w:rPr>
          <w:noProof/>
          <w:color w:val="595959" w:themeColor="text1" w:themeTint="A6"/>
        </w:rPr>
        <w:t>8</w:t>
      </w:r>
      <w:r w:rsidR="009B7AD0" w:rsidRPr="00083341">
        <w:rPr>
          <w:noProof/>
          <w:color w:val="595959" w:themeColor="text1" w:themeTint="A6"/>
        </w:rPr>
        <w:fldChar w:fldCharType="end"/>
      </w:r>
      <w:r w:rsidRPr="00083341">
        <w:rPr>
          <w:color w:val="595959" w:themeColor="text1" w:themeTint="A6"/>
        </w:rPr>
        <w:t xml:space="preserve"> Εκτέλεση προϋπολογισμού κοινωνικής ασφάλισης, Ιανουάριος – Δεκέμβριος 2021, σε εκατ. ευρώ</w:t>
      </w:r>
      <w:bookmarkEnd w:id="169"/>
      <w:bookmarkEnd w:id="170"/>
    </w:p>
    <w:tbl>
      <w:tblPr>
        <w:tblW w:w="5670" w:type="dxa"/>
        <w:jc w:val="center"/>
        <w:tblLook w:val="04A0" w:firstRow="1" w:lastRow="0" w:firstColumn="1" w:lastColumn="0" w:noHBand="0" w:noVBand="1"/>
      </w:tblPr>
      <w:tblGrid>
        <w:gridCol w:w="2400"/>
        <w:gridCol w:w="1235"/>
        <w:gridCol w:w="1159"/>
        <w:gridCol w:w="876"/>
      </w:tblGrid>
      <w:tr w:rsidR="00D47A7E" w:rsidRPr="00BE6D01" w14:paraId="225FE765" w14:textId="77777777" w:rsidTr="003F4366">
        <w:trPr>
          <w:trHeight w:val="300"/>
          <w:jc w:val="center"/>
        </w:trPr>
        <w:tc>
          <w:tcPr>
            <w:tcW w:w="2596" w:type="dxa"/>
            <w:tcBorders>
              <w:top w:val="nil"/>
              <w:left w:val="nil"/>
              <w:bottom w:val="single" w:sz="4" w:space="0" w:color="auto"/>
              <w:right w:val="nil"/>
            </w:tcBorders>
            <w:vAlign w:val="center"/>
            <w:hideMark/>
          </w:tcPr>
          <w:p w14:paraId="68425E35" w14:textId="77777777" w:rsidR="00D47A7E" w:rsidRPr="00BE6D01" w:rsidRDefault="00D47A7E" w:rsidP="003F4366">
            <w:pPr>
              <w:spacing w:after="200" w:line="276" w:lineRule="auto"/>
              <w:rPr>
                <w:color w:val="70AD47" w:themeColor="accent6"/>
              </w:rPr>
            </w:pPr>
          </w:p>
        </w:tc>
        <w:tc>
          <w:tcPr>
            <w:tcW w:w="1235" w:type="dxa"/>
            <w:tcBorders>
              <w:top w:val="nil"/>
              <w:left w:val="nil"/>
              <w:bottom w:val="single" w:sz="4" w:space="0" w:color="auto"/>
              <w:right w:val="nil"/>
            </w:tcBorders>
            <w:noWrap/>
            <w:vAlign w:val="center"/>
          </w:tcPr>
          <w:p w14:paraId="5524FF41" w14:textId="77777777" w:rsidR="00D47A7E" w:rsidRPr="00CF51B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2020</w:t>
            </w:r>
          </w:p>
        </w:tc>
        <w:tc>
          <w:tcPr>
            <w:tcW w:w="1245" w:type="dxa"/>
            <w:tcBorders>
              <w:top w:val="nil"/>
              <w:left w:val="nil"/>
              <w:bottom w:val="single" w:sz="4" w:space="0" w:color="auto"/>
              <w:right w:val="nil"/>
            </w:tcBorders>
            <w:vAlign w:val="center"/>
          </w:tcPr>
          <w:p w14:paraId="07613EF4" w14:textId="77777777" w:rsidR="00D47A7E" w:rsidRPr="00CF51B1" w:rsidRDefault="00D47A7E" w:rsidP="003F4366">
            <w:pPr>
              <w:spacing w:after="0" w:line="276" w:lineRule="auto"/>
              <w:jc w:val="center"/>
              <w:rPr>
                <w:rFonts w:ascii="Calibri" w:eastAsia="Times New Roman" w:hAnsi="Calibri" w:cs="Times New Roman"/>
                <w:color w:val="595959" w:themeColor="text1" w:themeTint="A6"/>
                <w:sz w:val="18"/>
                <w:szCs w:val="18"/>
                <w:lang w:val="en-US" w:eastAsia="el-GR"/>
              </w:rPr>
            </w:pPr>
            <w:r w:rsidRPr="00CF51B1">
              <w:rPr>
                <w:rFonts w:ascii="Calibri" w:eastAsia="Times New Roman" w:hAnsi="Calibri" w:cs="Times New Roman"/>
                <w:color w:val="595959" w:themeColor="text1" w:themeTint="A6"/>
                <w:sz w:val="18"/>
                <w:szCs w:val="18"/>
                <w:lang w:eastAsia="el-GR"/>
              </w:rPr>
              <w:t>2021</w:t>
            </w:r>
          </w:p>
        </w:tc>
        <w:tc>
          <w:tcPr>
            <w:tcW w:w="594" w:type="dxa"/>
            <w:tcBorders>
              <w:top w:val="nil"/>
              <w:left w:val="nil"/>
              <w:bottom w:val="single" w:sz="4" w:space="0" w:color="auto"/>
              <w:right w:val="nil"/>
            </w:tcBorders>
            <w:noWrap/>
            <w:vAlign w:val="center"/>
            <w:hideMark/>
          </w:tcPr>
          <w:p w14:paraId="38B8BE0E" w14:textId="77777777" w:rsidR="00D47A7E" w:rsidRPr="00CF51B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Διαφορά</w:t>
            </w:r>
          </w:p>
        </w:tc>
      </w:tr>
      <w:tr w:rsidR="00D47A7E" w:rsidRPr="00BE6D01" w14:paraId="5BA04C4E" w14:textId="77777777" w:rsidTr="003F4366">
        <w:trPr>
          <w:trHeight w:val="300"/>
          <w:jc w:val="center"/>
        </w:trPr>
        <w:tc>
          <w:tcPr>
            <w:tcW w:w="2596" w:type="dxa"/>
            <w:tcBorders>
              <w:top w:val="single" w:sz="4" w:space="0" w:color="auto"/>
              <w:left w:val="nil"/>
              <w:bottom w:val="nil"/>
              <w:right w:val="nil"/>
            </w:tcBorders>
            <w:vAlign w:val="center"/>
            <w:hideMark/>
          </w:tcPr>
          <w:p w14:paraId="543CCC08" w14:textId="77777777" w:rsidR="00D47A7E" w:rsidRPr="00CF51B1" w:rsidRDefault="00D47A7E" w:rsidP="003F4366">
            <w:pPr>
              <w:spacing w:after="0" w:line="276" w:lineRule="auto"/>
              <w:rPr>
                <w:rFonts w:ascii="Calibri" w:eastAsia="Times New Roman" w:hAnsi="Calibri" w:cs="Times New Roman"/>
                <w:b/>
                <w:bCs/>
                <w:color w:val="595959" w:themeColor="text1" w:themeTint="A6"/>
                <w:sz w:val="18"/>
                <w:szCs w:val="18"/>
                <w:lang w:eastAsia="el-GR"/>
              </w:rPr>
            </w:pPr>
            <w:r w:rsidRPr="00CF51B1">
              <w:rPr>
                <w:rFonts w:ascii="Calibri" w:eastAsia="Times New Roman" w:hAnsi="Calibri" w:cs="Times New Roman"/>
                <w:b/>
                <w:bCs/>
                <w:color w:val="595959" w:themeColor="text1" w:themeTint="A6"/>
                <w:sz w:val="18"/>
                <w:szCs w:val="18"/>
                <w:lang w:eastAsia="el-GR"/>
              </w:rPr>
              <w:t>ΕΣΟΔΑ</w:t>
            </w:r>
          </w:p>
        </w:tc>
        <w:tc>
          <w:tcPr>
            <w:tcW w:w="1235" w:type="dxa"/>
            <w:tcBorders>
              <w:top w:val="single" w:sz="4" w:space="0" w:color="auto"/>
              <w:left w:val="nil"/>
              <w:bottom w:val="nil"/>
              <w:right w:val="nil"/>
            </w:tcBorders>
            <w:noWrap/>
            <w:vAlign w:val="center"/>
          </w:tcPr>
          <w:p w14:paraId="3B6C2D8B" w14:textId="77777777" w:rsidR="00D47A7E" w:rsidRPr="00CF51B1" w:rsidRDefault="00D47A7E" w:rsidP="003F4366">
            <w:pPr>
              <w:spacing w:after="0" w:line="276" w:lineRule="auto"/>
              <w:jc w:val="center"/>
              <w:rPr>
                <w:rFonts w:ascii="Calibri" w:eastAsia="Times New Roman" w:hAnsi="Calibri" w:cs="Times New Roman"/>
                <w:b/>
                <w:color w:val="595959" w:themeColor="text1" w:themeTint="A6"/>
                <w:sz w:val="18"/>
                <w:szCs w:val="18"/>
                <w:lang w:eastAsia="el-GR"/>
              </w:rPr>
            </w:pPr>
            <w:r w:rsidRPr="00CF51B1">
              <w:rPr>
                <w:rFonts w:ascii="Calibri" w:eastAsia="Times New Roman" w:hAnsi="Calibri" w:cs="Times New Roman"/>
                <w:b/>
                <w:color w:val="595959" w:themeColor="text1" w:themeTint="A6"/>
                <w:sz w:val="18"/>
                <w:szCs w:val="18"/>
                <w:lang w:val="en-US" w:eastAsia="el-GR"/>
              </w:rPr>
              <w:t>44.907</w:t>
            </w:r>
          </w:p>
        </w:tc>
        <w:tc>
          <w:tcPr>
            <w:tcW w:w="1245" w:type="dxa"/>
            <w:tcBorders>
              <w:top w:val="single" w:sz="4" w:space="0" w:color="auto"/>
              <w:left w:val="nil"/>
              <w:bottom w:val="nil"/>
              <w:right w:val="nil"/>
            </w:tcBorders>
            <w:vAlign w:val="center"/>
          </w:tcPr>
          <w:p w14:paraId="401BF0C8" w14:textId="77777777" w:rsidR="00D47A7E" w:rsidRPr="00596A15" w:rsidRDefault="00D47A7E" w:rsidP="003F4366">
            <w:pPr>
              <w:spacing w:after="0" w:line="276" w:lineRule="auto"/>
              <w:jc w:val="center"/>
              <w:rPr>
                <w:rFonts w:ascii="Calibri" w:eastAsia="Times New Roman" w:hAnsi="Calibri" w:cs="Times New Roman"/>
                <w:b/>
                <w:color w:val="70AD47" w:themeColor="accent6"/>
                <w:sz w:val="18"/>
                <w:szCs w:val="18"/>
                <w:lang w:eastAsia="el-GR"/>
              </w:rPr>
            </w:pPr>
            <w:r w:rsidRPr="00596A15">
              <w:rPr>
                <w:rFonts w:ascii="Calibri" w:eastAsia="Times New Roman" w:hAnsi="Calibri" w:cs="Times New Roman"/>
                <w:b/>
                <w:color w:val="595959" w:themeColor="text1" w:themeTint="A6"/>
                <w:sz w:val="18"/>
                <w:szCs w:val="18"/>
                <w:lang w:eastAsia="el-GR"/>
              </w:rPr>
              <w:t>45.070</w:t>
            </w:r>
          </w:p>
        </w:tc>
        <w:tc>
          <w:tcPr>
            <w:tcW w:w="594" w:type="dxa"/>
            <w:tcBorders>
              <w:top w:val="single" w:sz="4" w:space="0" w:color="auto"/>
              <w:left w:val="nil"/>
              <w:bottom w:val="nil"/>
              <w:right w:val="nil"/>
            </w:tcBorders>
            <w:noWrap/>
            <w:vAlign w:val="center"/>
          </w:tcPr>
          <w:p w14:paraId="0AF106D8" w14:textId="77777777" w:rsidR="00D47A7E" w:rsidRPr="00596A15" w:rsidRDefault="00D47A7E" w:rsidP="003F4366">
            <w:pPr>
              <w:spacing w:after="0" w:line="276" w:lineRule="auto"/>
              <w:jc w:val="right"/>
              <w:rPr>
                <w:rFonts w:ascii="Calibri" w:eastAsia="Times New Roman" w:hAnsi="Calibri" w:cs="Times New Roman"/>
                <w:b/>
                <w:color w:val="70AD47" w:themeColor="accent6"/>
                <w:sz w:val="18"/>
                <w:szCs w:val="18"/>
                <w:lang w:eastAsia="el-GR"/>
              </w:rPr>
            </w:pPr>
            <w:r w:rsidRPr="00596A15">
              <w:rPr>
                <w:rFonts w:ascii="Calibri" w:eastAsia="Times New Roman" w:hAnsi="Calibri" w:cs="Times New Roman"/>
                <w:b/>
                <w:color w:val="595959" w:themeColor="text1" w:themeTint="A6"/>
                <w:sz w:val="18"/>
                <w:szCs w:val="18"/>
                <w:lang w:eastAsia="el-GR"/>
              </w:rPr>
              <w:t>163</w:t>
            </w:r>
          </w:p>
        </w:tc>
      </w:tr>
      <w:tr w:rsidR="00D47A7E" w:rsidRPr="00BE6D01" w14:paraId="7211FF9B" w14:textId="77777777" w:rsidTr="003F4366">
        <w:trPr>
          <w:trHeight w:val="269"/>
          <w:jc w:val="center"/>
        </w:trPr>
        <w:tc>
          <w:tcPr>
            <w:tcW w:w="2596" w:type="dxa"/>
            <w:vAlign w:val="center"/>
            <w:hideMark/>
          </w:tcPr>
          <w:p w14:paraId="2F9C4340" w14:textId="77777777" w:rsidR="00D47A7E" w:rsidRPr="00CF51B1" w:rsidRDefault="00D47A7E" w:rsidP="003F4366">
            <w:pPr>
              <w:spacing w:after="0" w:line="276" w:lineRule="auto"/>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Εισφορές και ρυθμίσεις οφειλών</w:t>
            </w:r>
          </w:p>
        </w:tc>
        <w:tc>
          <w:tcPr>
            <w:tcW w:w="1235" w:type="dxa"/>
            <w:noWrap/>
            <w:vAlign w:val="center"/>
          </w:tcPr>
          <w:p w14:paraId="18CCABD8" w14:textId="77777777" w:rsidR="00D47A7E" w:rsidRPr="00CF51B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val="en-US" w:eastAsia="el-GR"/>
              </w:rPr>
              <w:t>14.837</w:t>
            </w:r>
          </w:p>
        </w:tc>
        <w:tc>
          <w:tcPr>
            <w:tcW w:w="1245" w:type="dxa"/>
            <w:vAlign w:val="center"/>
          </w:tcPr>
          <w:p w14:paraId="7EE93CC8" w14:textId="77777777" w:rsidR="00D47A7E" w:rsidRPr="00CF51B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16.098</w:t>
            </w:r>
          </w:p>
        </w:tc>
        <w:tc>
          <w:tcPr>
            <w:tcW w:w="594" w:type="dxa"/>
            <w:shd w:val="clear" w:color="auto" w:fill="auto"/>
            <w:noWrap/>
            <w:vAlign w:val="center"/>
          </w:tcPr>
          <w:p w14:paraId="54CDB127" w14:textId="77777777" w:rsidR="00D47A7E" w:rsidRPr="00CF51B1" w:rsidRDefault="00D47A7E" w:rsidP="003F4366">
            <w:pPr>
              <w:spacing w:after="0" w:line="276" w:lineRule="auto"/>
              <w:jc w:val="right"/>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1.261</w:t>
            </w:r>
          </w:p>
        </w:tc>
      </w:tr>
      <w:tr w:rsidR="00D47A7E" w:rsidRPr="00BE6D01" w14:paraId="4E76F941" w14:textId="77777777" w:rsidTr="003F4366">
        <w:trPr>
          <w:trHeight w:val="480"/>
          <w:jc w:val="center"/>
        </w:trPr>
        <w:tc>
          <w:tcPr>
            <w:tcW w:w="2596" w:type="dxa"/>
            <w:vAlign w:val="center"/>
            <w:hideMark/>
          </w:tcPr>
          <w:p w14:paraId="3787C05D" w14:textId="77777777" w:rsidR="00D47A7E" w:rsidRPr="00CF51B1" w:rsidRDefault="00D47A7E" w:rsidP="003F4366">
            <w:pPr>
              <w:spacing w:after="0" w:line="276" w:lineRule="auto"/>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Μεταβιβάσεις από κρατικό προϋπολογισμό</w:t>
            </w:r>
          </w:p>
        </w:tc>
        <w:tc>
          <w:tcPr>
            <w:tcW w:w="1235" w:type="dxa"/>
            <w:noWrap/>
            <w:vAlign w:val="center"/>
          </w:tcPr>
          <w:p w14:paraId="6DEB8EB8" w14:textId="77777777" w:rsidR="00D47A7E" w:rsidRPr="00CF51B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val="en-US" w:eastAsia="el-GR"/>
              </w:rPr>
              <w:t>14.308</w:t>
            </w:r>
          </w:p>
        </w:tc>
        <w:tc>
          <w:tcPr>
            <w:tcW w:w="1245" w:type="dxa"/>
            <w:vAlign w:val="center"/>
          </w:tcPr>
          <w:p w14:paraId="00CF0802" w14:textId="77777777" w:rsidR="00D47A7E" w:rsidRPr="00CF51B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14.315</w:t>
            </w:r>
          </w:p>
        </w:tc>
        <w:tc>
          <w:tcPr>
            <w:tcW w:w="594" w:type="dxa"/>
            <w:shd w:val="clear" w:color="auto" w:fill="auto"/>
            <w:noWrap/>
            <w:vAlign w:val="center"/>
          </w:tcPr>
          <w:p w14:paraId="2172DC37" w14:textId="77777777" w:rsidR="00D47A7E" w:rsidRPr="00CF51B1" w:rsidRDefault="00D47A7E" w:rsidP="003F4366">
            <w:pPr>
              <w:spacing w:after="0" w:line="276" w:lineRule="auto"/>
              <w:jc w:val="right"/>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7</w:t>
            </w:r>
          </w:p>
        </w:tc>
      </w:tr>
      <w:tr w:rsidR="00D47A7E" w:rsidRPr="00BE6D01" w14:paraId="2DD927DB" w14:textId="77777777" w:rsidTr="003F4366">
        <w:trPr>
          <w:trHeight w:val="300"/>
          <w:jc w:val="center"/>
        </w:trPr>
        <w:tc>
          <w:tcPr>
            <w:tcW w:w="2596" w:type="dxa"/>
            <w:vAlign w:val="center"/>
            <w:hideMark/>
          </w:tcPr>
          <w:p w14:paraId="45451EB3" w14:textId="77777777" w:rsidR="00D47A7E" w:rsidRPr="00CF51B1" w:rsidRDefault="00D47A7E" w:rsidP="003F4366">
            <w:pPr>
              <w:spacing w:after="0" w:line="276" w:lineRule="auto"/>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Εισπράξεις υπέρ τρίτων</w:t>
            </w:r>
          </w:p>
        </w:tc>
        <w:tc>
          <w:tcPr>
            <w:tcW w:w="1235" w:type="dxa"/>
            <w:noWrap/>
            <w:vAlign w:val="center"/>
          </w:tcPr>
          <w:p w14:paraId="07B7805D" w14:textId="77777777" w:rsidR="00D47A7E" w:rsidRPr="00CF51B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val="en-US" w:eastAsia="el-GR"/>
              </w:rPr>
              <w:t>12.332</w:t>
            </w:r>
          </w:p>
        </w:tc>
        <w:tc>
          <w:tcPr>
            <w:tcW w:w="1245" w:type="dxa"/>
            <w:vAlign w:val="center"/>
          </w:tcPr>
          <w:p w14:paraId="25C42044" w14:textId="77777777" w:rsidR="00D47A7E" w:rsidRPr="00CF51B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12.493</w:t>
            </w:r>
          </w:p>
        </w:tc>
        <w:tc>
          <w:tcPr>
            <w:tcW w:w="594" w:type="dxa"/>
            <w:shd w:val="clear" w:color="auto" w:fill="auto"/>
            <w:noWrap/>
            <w:vAlign w:val="center"/>
          </w:tcPr>
          <w:p w14:paraId="7016982F" w14:textId="77777777" w:rsidR="00D47A7E" w:rsidRPr="00CF51B1" w:rsidRDefault="00D47A7E" w:rsidP="003F4366">
            <w:pPr>
              <w:spacing w:after="0" w:line="276" w:lineRule="auto"/>
              <w:jc w:val="right"/>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161</w:t>
            </w:r>
          </w:p>
        </w:tc>
      </w:tr>
      <w:tr w:rsidR="00D47A7E" w:rsidRPr="00BE6D01" w14:paraId="22969180" w14:textId="77777777" w:rsidTr="003F4366">
        <w:trPr>
          <w:trHeight w:val="300"/>
          <w:jc w:val="center"/>
        </w:trPr>
        <w:tc>
          <w:tcPr>
            <w:tcW w:w="2596" w:type="dxa"/>
            <w:vAlign w:val="center"/>
            <w:hideMark/>
          </w:tcPr>
          <w:p w14:paraId="7EDABBDF" w14:textId="77777777" w:rsidR="00D47A7E" w:rsidRPr="00CF51B1" w:rsidRDefault="00D47A7E" w:rsidP="003F4366">
            <w:pPr>
              <w:spacing w:after="0" w:line="276" w:lineRule="auto"/>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eastAsia="el-GR"/>
              </w:rPr>
              <w:t>Άλλα έσοδα</w:t>
            </w:r>
          </w:p>
        </w:tc>
        <w:tc>
          <w:tcPr>
            <w:tcW w:w="1235" w:type="dxa"/>
            <w:noWrap/>
            <w:vAlign w:val="center"/>
          </w:tcPr>
          <w:p w14:paraId="28664682" w14:textId="77777777" w:rsidR="00D47A7E" w:rsidRPr="00CF51B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CF51B1">
              <w:rPr>
                <w:rFonts w:ascii="Calibri" w:eastAsia="Times New Roman" w:hAnsi="Calibri" w:cs="Times New Roman"/>
                <w:color w:val="595959" w:themeColor="text1" w:themeTint="A6"/>
                <w:sz w:val="18"/>
                <w:szCs w:val="18"/>
                <w:lang w:val="en-US" w:eastAsia="el-GR"/>
              </w:rPr>
              <w:t>3.430</w:t>
            </w:r>
          </w:p>
        </w:tc>
        <w:tc>
          <w:tcPr>
            <w:tcW w:w="1245" w:type="dxa"/>
            <w:vAlign w:val="center"/>
          </w:tcPr>
          <w:p w14:paraId="76ABC3A9" w14:textId="77777777" w:rsidR="00D47A7E" w:rsidRPr="00596A15" w:rsidRDefault="00D47A7E" w:rsidP="003F4366">
            <w:pPr>
              <w:spacing w:after="0" w:line="276" w:lineRule="auto"/>
              <w:jc w:val="center"/>
              <w:rPr>
                <w:rFonts w:ascii="Calibri" w:eastAsia="Times New Roman" w:hAnsi="Calibri" w:cs="Times New Roman"/>
                <w:color w:val="70AD47" w:themeColor="accent6"/>
                <w:sz w:val="18"/>
                <w:szCs w:val="18"/>
                <w:lang w:eastAsia="el-GR"/>
              </w:rPr>
            </w:pPr>
            <w:r w:rsidRPr="00596A15">
              <w:rPr>
                <w:rFonts w:ascii="Calibri" w:eastAsia="Times New Roman" w:hAnsi="Calibri" w:cs="Times New Roman"/>
                <w:color w:val="595959" w:themeColor="text1" w:themeTint="A6"/>
                <w:sz w:val="18"/>
                <w:szCs w:val="18"/>
                <w:lang w:eastAsia="el-GR"/>
              </w:rPr>
              <w:t>2.164</w:t>
            </w:r>
          </w:p>
        </w:tc>
        <w:tc>
          <w:tcPr>
            <w:tcW w:w="594" w:type="dxa"/>
            <w:shd w:val="clear" w:color="auto" w:fill="auto"/>
            <w:noWrap/>
            <w:vAlign w:val="center"/>
          </w:tcPr>
          <w:p w14:paraId="367E33D0" w14:textId="77777777" w:rsidR="00D47A7E" w:rsidRPr="00596A15" w:rsidRDefault="00D47A7E" w:rsidP="003F4366">
            <w:pPr>
              <w:spacing w:after="0" w:line="276" w:lineRule="auto"/>
              <w:jc w:val="right"/>
              <w:rPr>
                <w:rFonts w:ascii="Calibri" w:eastAsia="Times New Roman" w:hAnsi="Calibri" w:cs="Times New Roman"/>
                <w:color w:val="70AD47" w:themeColor="accent6"/>
                <w:sz w:val="18"/>
                <w:szCs w:val="18"/>
                <w:lang w:eastAsia="el-GR"/>
              </w:rPr>
            </w:pPr>
            <w:r w:rsidRPr="00596A15">
              <w:rPr>
                <w:rFonts w:ascii="Calibri" w:eastAsia="Times New Roman" w:hAnsi="Calibri" w:cs="Times New Roman"/>
                <w:color w:val="595959" w:themeColor="text1" w:themeTint="A6"/>
                <w:sz w:val="18"/>
                <w:szCs w:val="18"/>
                <w:lang w:eastAsia="el-GR"/>
              </w:rPr>
              <w:t>- 1.266</w:t>
            </w:r>
          </w:p>
        </w:tc>
      </w:tr>
      <w:tr w:rsidR="00D47A7E" w:rsidRPr="00BE6D01" w14:paraId="42035A00" w14:textId="77777777" w:rsidTr="003F4366">
        <w:trPr>
          <w:trHeight w:val="197"/>
          <w:jc w:val="center"/>
        </w:trPr>
        <w:tc>
          <w:tcPr>
            <w:tcW w:w="2596" w:type="dxa"/>
            <w:vAlign w:val="center"/>
          </w:tcPr>
          <w:p w14:paraId="0558944D" w14:textId="77777777" w:rsidR="00D47A7E" w:rsidRPr="00BE6D01" w:rsidRDefault="00D47A7E" w:rsidP="003F4366">
            <w:pPr>
              <w:spacing w:after="0" w:line="276" w:lineRule="auto"/>
              <w:rPr>
                <w:rFonts w:ascii="Calibri" w:eastAsia="Times New Roman" w:hAnsi="Calibri" w:cs="Times New Roman"/>
                <w:b/>
                <w:bCs/>
                <w:color w:val="70AD47" w:themeColor="accent6"/>
                <w:sz w:val="18"/>
                <w:szCs w:val="18"/>
                <w:lang w:eastAsia="el-GR"/>
              </w:rPr>
            </w:pPr>
          </w:p>
        </w:tc>
        <w:tc>
          <w:tcPr>
            <w:tcW w:w="1235" w:type="dxa"/>
            <w:noWrap/>
            <w:vAlign w:val="center"/>
          </w:tcPr>
          <w:p w14:paraId="323DF550" w14:textId="77777777" w:rsidR="00D47A7E" w:rsidRPr="00BE6D01" w:rsidRDefault="00D47A7E" w:rsidP="003F4366">
            <w:pPr>
              <w:spacing w:after="0" w:line="276" w:lineRule="auto"/>
              <w:jc w:val="center"/>
              <w:rPr>
                <w:rFonts w:ascii="Calibri" w:eastAsia="Times New Roman" w:hAnsi="Calibri" w:cs="Times New Roman"/>
                <w:b/>
                <w:color w:val="70AD47" w:themeColor="accent6"/>
                <w:sz w:val="18"/>
                <w:szCs w:val="18"/>
                <w:lang w:eastAsia="el-GR"/>
              </w:rPr>
            </w:pPr>
          </w:p>
        </w:tc>
        <w:tc>
          <w:tcPr>
            <w:tcW w:w="1245" w:type="dxa"/>
            <w:vAlign w:val="center"/>
          </w:tcPr>
          <w:p w14:paraId="0DF8BF67" w14:textId="77777777" w:rsidR="00D47A7E" w:rsidRPr="00BE6D01" w:rsidRDefault="00D47A7E" w:rsidP="003F4366">
            <w:pPr>
              <w:spacing w:after="0" w:line="276" w:lineRule="auto"/>
              <w:jc w:val="center"/>
              <w:rPr>
                <w:rFonts w:ascii="Calibri" w:eastAsia="Times New Roman" w:hAnsi="Calibri" w:cs="Times New Roman"/>
                <w:b/>
                <w:color w:val="70AD47" w:themeColor="accent6"/>
                <w:sz w:val="18"/>
                <w:szCs w:val="18"/>
                <w:lang w:eastAsia="el-GR"/>
              </w:rPr>
            </w:pPr>
          </w:p>
        </w:tc>
        <w:tc>
          <w:tcPr>
            <w:tcW w:w="594" w:type="dxa"/>
            <w:noWrap/>
            <w:vAlign w:val="center"/>
          </w:tcPr>
          <w:p w14:paraId="1AD394E2" w14:textId="77777777" w:rsidR="00D47A7E" w:rsidRPr="00BE6D01" w:rsidRDefault="00D47A7E" w:rsidP="003F4366">
            <w:pPr>
              <w:spacing w:after="0" w:line="276" w:lineRule="auto"/>
              <w:jc w:val="right"/>
              <w:rPr>
                <w:rFonts w:ascii="Calibri" w:eastAsia="Times New Roman" w:hAnsi="Calibri" w:cs="Times New Roman"/>
                <w:b/>
                <w:color w:val="70AD47" w:themeColor="accent6"/>
                <w:sz w:val="18"/>
                <w:szCs w:val="18"/>
                <w:lang w:eastAsia="el-GR"/>
              </w:rPr>
            </w:pPr>
          </w:p>
        </w:tc>
      </w:tr>
      <w:tr w:rsidR="00D47A7E" w:rsidRPr="00BE6D01" w14:paraId="5B744AA6" w14:textId="77777777" w:rsidTr="003F4366">
        <w:trPr>
          <w:trHeight w:val="300"/>
          <w:jc w:val="center"/>
        </w:trPr>
        <w:tc>
          <w:tcPr>
            <w:tcW w:w="2596" w:type="dxa"/>
            <w:vAlign w:val="center"/>
            <w:hideMark/>
          </w:tcPr>
          <w:p w14:paraId="15A078CF" w14:textId="77777777" w:rsidR="00D47A7E" w:rsidRPr="00083341" w:rsidRDefault="00D47A7E" w:rsidP="003F4366">
            <w:pPr>
              <w:spacing w:after="0" w:line="276" w:lineRule="auto"/>
              <w:rPr>
                <w:rFonts w:ascii="Calibri" w:eastAsia="Times New Roman" w:hAnsi="Calibri" w:cs="Times New Roman"/>
                <w:b/>
                <w:bCs/>
                <w:color w:val="595959" w:themeColor="text1" w:themeTint="A6"/>
                <w:sz w:val="18"/>
                <w:szCs w:val="18"/>
                <w:lang w:eastAsia="el-GR"/>
              </w:rPr>
            </w:pPr>
            <w:r w:rsidRPr="00083341">
              <w:rPr>
                <w:rFonts w:ascii="Calibri" w:eastAsia="Times New Roman" w:hAnsi="Calibri" w:cs="Times New Roman"/>
                <w:b/>
                <w:bCs/>
                <w:color w:val="595959" w:themeColor="text1" w:themeTint="A6"/>
                <w:sz w:val="18"/>
                <w:szCs w:val="18"/>
                <w:lang w:eastAsia="el-GR"/>
              </w:rPr>
              <w:t>ΔΑΠΑΝΕΣ</w:t>
            </w:r>
          </w:p>
        </w:tc>
        <w:tc>
          <w:tcPr>
            <w:tcW w:w="1235" w:type="dxa"/>
            <w:noWrap/>
            <w:vAlign w:val="center"/>
          </w:tcPr>
          <w:p w14:paraId="484769A0" w14:textId="77777777" w:rsidR="00D47A7E" w:rsidRPr="00083341" w:rsidRDefault="00D47A7E" w:rsidP="003F4366">
            <w:pPr>
              <w:spacing w:after="0" w:line="276" w:lineRule="auto"/>
              <w:jc w:val="center"/>
              <w:rPr>
                <w:rFonts w:ascii="Calibri" w:eastAsia="Times New Roman" w:hAnsi="Calibri" w:cs="Times New Roman"/>
                <w:b/>
                <w:color w:val="595959" w:themeColor="text1" w:themeTint="A6"/>
                <w:sz w:val="18"/>
                <w:szCs w:val="18"/>
                <w:lang w:eastAsia="el-GR"/>
              </w:rPr>
            </w:pPr>
            <w:r w:rsidRPr="00083341">
              <w:rPr>
                <w:rFonts w:ascii="Calibri" w:eastAsia="Times New Roman" w:hAnsi="Calibri" w:cs="Times New Roman"/>
                <w:b/>
                <w:color w:val="595959" w:themeColor="text1" w:themeTint="A6"/>
                <w:sz w:val="18"/>
                <w:szCs w:val="18"/>
                <w:lang w:val="en-US" w:eastAsia="el-GR"/>
              </w:rPr>
              <w:t>44.341</w:t>
            </w:r>
          </w:p>
        </w:tc>
        <w:tc>
          <w:tcPr>
            <w:tcW w:w="1245" w:type="dxa"/>
            <w:vAlign w:val="center"/>
          </w:tcPr>
          <w:p w14:paraId="76AC0373" w14:textId="77777777" w:rsidR="00D47A7E" w:rsidRPr="00083341" w:rsidRDefault="00D47A7E" w:rsidP="003F4366">
            <w:pPr>
              <w:spacing w:after="0" w:line="276" w:lineRule="auto"/>
              <w:jc w:val="center"/>
              <w:rPr>
                <w:rFonts w:ascii="Calibri" w:eastAsia="Times New Roman" w:hAnsi="Calibri" w:cs="Times New Roman"/>
                <w:b/>
                <w:color w:val="595959" w:themeColor="text1" w:themeTint="A6"/>
                <w:sz w:val="18"/>
                <w:szCs w:val="18"/>
                <w:lang w:eastAsia="el-GR"/>
              </w:rPr>
            </w:pPr>
            <w:r w:rsidRPr="00083341">
              <w:rPr>
                <w:rFonts w:ascii="Calibri" w:eastAsia="Times New Roman" w:hAnsi="Calibri" w:cs="Times New Roman"/>
                <w:b/>
                <w:color w:val="595959" w:themeColor="text1" w:themeTint="A6"/>
                <w:sz w:val="18"/>
                <w:szCs w:val="18"/>
                <w:lang w:val="en-US" w:eastAsia="el-GR"/>
              </w:rPr>
              <w:t>44.</w:t>
            </w:r>
            <w:r w:rsidRPr="00083341">
              <w:rPr>
                <w:rFonts w:ascii="Calibri" w:eastAsia="Times New Roman" w:hAnsi="Calibri" w:cs="Times New Roman"/>
                <w:b/>
                <w:color w:val="595959" w:themeColor="text1" w:themeTint="A6"/>
                <w:sz w:val="18"/>
                <w:szCs w:val="18"/>
                <w:lang w:eastAsia="el-GR"/>
              </w:rPr>
              <w:t>725</w:t>
            </w:r>
          </w:p>
        </w:tc>
        <w:tc>
          <w:tcPr>
            <w:tcW w:w="594" w:type="dxa"/>
            <w:noWrap/>
            <w:vAlign w:val="center"/>
          </w:tcPr>
          <w:p w14:paraId="400D5B4C" w14:textId="77777777" w:rsidR="00D47A7E" w:rsidRPr="00596A15" w:rsidRDefault="00D47A7E" w:rsidP="003F4366">
            <w:pPr>
              <w:spacing w:after="0" w:line="276" w:lineRule="auto"/>
              <w:jc w:val="right"/>
              <w:rPr>
                <w:rFonts w:ascii="Calibri" w:eastAsia="Times New Roman" w:hAnsi="Calibri" w:cs="Times New Roman"/>
                <w:b/>
                <w:color w:val="595959" w:themeColor="text1" w:themeTint="A6"/>
                <w:sz w:val="18"/>
                <w:szCs w:val="18"/>
                <w:lang w:eastAsia="el-GR"/>
              </w:rPr>
            </w:pPr>
            <w:r w:rsidRPr="00596A15">
              <w:rPr>
                <w:rFonts w:ascii="Calibri" w:eastAsia="Times New Roman" w:hAnsi="Calibri" w:cs="Times New Roman"/>
                <w:b/>
                <w:color w:val="595959" w:themeColor="text1" w:themeTint="A6"/>
                <w:sz w:val="18"/>
                <w:szCs w:val="18"/>
                <w:lang w:eastAsia="el-GR"/>
              </w:rPr>
              <w:t>384</w:t>
            </w:r>
          </w:p>
        </w:tc>
      </w:tr>
      <w:tr w:rsidR="00D47A7E" w:rsidRPr="00BE6D01" w14:paraId="4FBEE9B7" w14:textId="77777777" w:rsidTr="003F4366">
        <w:trPr>
          <w:trHeight w:val="297"/>
          <w:jc w:val="center"/>
        </w:trPr>
        <w:tc>
          <w:tcPr>
            <w:tcW w:w="2596" w:type="dxa"/>
            <w:vAlign w:val="center"/>
            <w:hideMark/>
          </w:tcPr>
          <w:p w14:paraId="1760AC8E" w14:textId="77777777" w:rsidR="00D47A7E" w:rsidRPr="00083341" w:rsidRDefault="00D47A7E" w:rsidP="003F4366">
            <w:pPr>
              <w:spacing w:after="0" w:line="276" w:lineRule="auto"/>
              <w:rPr>
                <w:rFonts w:ascii="Calibri" w:eastAsia="Times New Roman" w:hAnsi="Calibri" w:cs="Times New Roman"/>
                <w:color w:val="595959" w:themeColor="text1" w:themeTint="A6"/>
                <w:sz w:val="18"/>
                <w:szCs w:val="18"/>
                <w:lang w:eastAsia="el-GR"/>
              </w:rPr>
            </w:pPr>
            <w:r w:rsidRPr="00083341">
              <w:rPr>
                <w:rFonts w:ascii="Calibri" w:eastAsia="Times New Roman" w:hAnsi="Calibri" w:cs="Times New Roman"/>
                <w:color w:val="595959" w:themeColor="text1" w:themeTint="A6"/>
                <w:sz w:val="18"/>
                <w:szCs w:val="18"/>
                <w:lang w:eastAsia="el-GR"/>
              </w:rPr>
              <w:t>Συντάξεις (κύριες και επικουρικές)</w:t>
            </w:r>
          </w:p>
        </w:tc>
        <w:tc>
          <w:tcPr>
            <w:tcW w:w="1235" w:type="dxa"/>
            <w:noWrap/>
            <w:vAlign w:val="center"/>
          </w:tcPr>
          <w:p w14:paraId="72C88CCA" w14:textId="77777777" w:rsidR="00D47A7E" w:rsidRPr="0008334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083341">
              <w:rPr>
                <w:rFonts w:ascii="Calibri" w:eastAsia="Times New Roman" w:hAnsi="Calibri" w:cs="Times New Roman"/>
                <w:color w:val="595959" w:themeColor="text1" w:themeTint="A6"/>
                <w:sz w:val="18"/>
                <w:szCs w:val="18"/>
                <w:lang w:val="en-US" w:eastAsia="el-GR"/>
              </w:rPr>
              <w:t>28.731</w:t>
            </w:r>
          </w:p>
        </w:tc>
        <w:tc>
          <w:tcPr>
            <w:tcW w:w="1245" w:type="dxa"/>
            <w:vAlign w:val="center"/>
          </w:tcPr>
          <w:p w14:paraId="12CE0CFC" w14:textId="77777777" w:rsidR="00D47A7E" w:rsidRPr="00083341" w:rsidRDefault="00D47A7E" w:rsidP="003F4366">
            <w:pPr>
              <w:spacing w:after="0" w:line="276" w:lineRule="auto"/>
              <w:jc w:val="center"/>
              <w:rPr>
                <w:rFonts w:ascii="Calibri" w:eastAsia="Times New Roman" w:hAnsi="Calibri" w:cs="Times New Roman"/>
                <w:color w:val="595959" w:themeColor="text1" w:themeTint="A6"/>
                <w:sz w:val="18"/>
                <w:szCs w:val="18"/>
                <w:lang w:val="en-US" w:eastAsia="el-GR"/>
              </w:rPr>
            </w:pPr>
            <w:r w:rsidRPr="00083341">
              <w:rPr>
                <w:rFonts w:ascii="Calibri" w:eastAsia="Times New Roman" w:hAnsi="Calibri" w:cs="Times New Roman"/>
                <w:color w:val="595959" w:themeColor="text1" w:themeTint="A6"/>
                <w:sz w:val="18"/>
                <w:szCs w:val="18"/>
                <w:lang w:val="en-US" w:eastAsia="el-GR"/>
              </w:rPr>
              <w:t>29.558</w:t>
            </w:r>
          </w:p>
        </w:tc>
        <w:tc>
          <w:tcPr>
            <w:tcW w:w="594" w:type="dxa"/>
            <w:noWrap/>
            <w:vAlign w:val="center"/>
          </w:tcPr>
          <w:p w14:paraId="05D4CCBC" w14:textId="77777777" w:rsidR="00D47A7E" w:rsidRPr="00596A15" w:rsidRDefault="00D47A7E" w:rsidP="003F4366">
            <w:pPr>
              <w:spacing w:after="0" w:line="276" w:lineRule="auto"/>
              <w:jc w:val="right"/>
              <w:rPr>
                <w:rFonts w:ascii="Calibri" w:eastAsia="Times New Roman" w:hAnsi="Calibri" w:cs="Times New Roman"/>
                <w:color w:val="595959" w:themeColor="text1" w:themeTint="A6"/>
                <w:sz w:val="18"/>
                <w:szCs w:val="18"/>
                <w:lang w:eastAsia="el-GR"/>
              </w:rPr>
            </w:pPr>
            <w:r w:rsidRPr="00596A15">
              <w:rPr>
                <w:rFonts w:ascii="Calibri" w:eastAsia="Times New Roman" w:hAnsi="Calibri" w:cs="Times New Roman"/>
                <w:color w:val="595959" w:themeColor="text1" w:themeTint="A6"/>
                <w:sz w:val="18"/>
                <w:szCs w:val="18"/>
                <w:lang w:eastAsia="el-GR"/>
              </w:rPr>
              <w:t>827</w:t>
            </w:r>
          </w:p>
        </w:tc>
      </w:tr>
      <w:tr w:rsidR="00D47A7E" w:rsidRPr="00BE6D01" w14:paraId="305F76DC" w14:textId="77777777" w:rsidTr="003F4366">
        <w:trPr>
          <w:trHeight w:val="291"/>
          <w:jc w:val="center"/>
        </w:trPr>
        <w:tc>
          <w:tcPr>
            <w:tcW w:w="2596" w:type="dxa"/>
            <w:vAlign w:val="center"/>
            <w:hideMark/>
          </w:tcPr>
          <w:p w14:paraId="6A18EBC4" w14:textId="77777777" w:rsidR="00D47A7E" w:rsidRPr="00083341" w:rsidRDefault="00D47A7E" w:rsidP="003F4366">
            <w:pPr>
              <w:spacing w:after="0" w:line="276" w:lineRule="auto"/>
              <w:rPr>
                <w:rFonts w:ascii="Calibri" w:eastAsia="Times New Roman" w:hAnsi="Calibri" w:cs="Times New Roman"/>
                <w:color w:val="595959" w:themeColor="text1" w:themeTint="A6"/>
                <w:sz w:val="18"/>
                <w:szCs w:val="18"/>
                <w:lang w:eastAsia="el-GR"/>
              </w:rPr>
            </w:pPr>
            <w:r w:rsidRPr="00083341">
              <w:rPr>
                <w:rFonts w:ascii="Calibri" w:eastAsia="Times New Roman" w:hAnsi="Calibri" w:cs="Times New Roman"/>
                <w:color w:val="595959" w:themeColor="text1" w:themeTint="A6"/>
                <w:sz w:val="18"/>
                <w:szCs w:val="18"/>
                <w:lang w:eastAsia="el-GR"/>
              </w:rPr>
              <w:t xml:space="preserve">Άλλες παροχές και εφάπαξ </w:t>
            </w:r>
          </w:p>
        </w:tc>
        <w:tc>
          <w:tcPr>
            <w:tcW w:w="1235" w:type="dxa"/>
            <w:noWrap/>
            <w:vAlign w:val="center"/>
          </w:tcPr>
          <w:p w14:paraId="5919B9AF" w14:textId="77777777" w:rsidR="00D47A7E" w:rsidRPr="0008334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083341">
              <w:rPr>
                <w:rFonts w:ascii="Calibri" w:eastAsia="Times New Roman" w:hAnsi="Calibri" w:cs="Times New Roman"/>
                <w:color w:val="595959" w:themeColor="text1" w:themeTint="A6"/>
                <w:sz w:val="18"/>
                <w:szCs w:val="18"/>
                <w:lang w:val="en-US" w:eastAsia="el-GR"/>
              </w:rPr>
              <w:t>975</w:t>
            </w:r>
          </w:p>
        </w:tc>
        <w:tc>
          <w:tcPr>
            <w:tcW w:w="1245" w:type="dxa"/>
            <w:vAlign w:val="center"/>
          </w:tcPr>
          <w:p w14:paraId="4AF5559A" w14:textId="77777777" w:rsidR="00D47A7E" w:rsidRPr="00083341" w:rsidRDefault="00D47A7E" w:rsidP="003F4366">
            <w:pPr>
              <w:spacing w:after="0" w:line="276" w:lineRule="auto"/>
              <w:jc w:val="center"/>
              <w:rPr>
                <w:rFonts w:ascii="Calibri" w:eastAsia="Times New Roman" w:hAnsi="Calibri" w:cs="Times New Roman"/>
                <w:color w:val="595959" w:themeColor="text1" w:themeTint="A6"/>
                <w:sz w:val="18"/>
                <w:szCs w:val="18"/>
                <w:lang w:val="en-US" w:eastAsia="el-GR"/>
              </w:rPr>
            </w:pPr>
            <w:r w:rsidRPr="00083341">
              <w:rPr>
                <w:rFonts w:ascii="Calibri" w:eastAsia="Times New Roman" w:hAnsi="Calibri" w:cs="Times New Roman"/>
                <w:color w:val="595959" w:themeColor="text1" w:themeTint="A6"/>
                <w:sz w:val="18"/>
                <w:szCs w:val="18"/>
                <w:lang w:val="en-US" w:eastAsia="el-GR"/>
              </w:rPr>
              <w:t>1.236</w:t>
            </w:r>
          </w:p>
        </w:tc>
        <w:tc>
          <w:tcPr>
            <w:tcW w:w="594" w:type="dxa"/>
            <w:noWrap/>
            <w:vAlign w:val="center"/>
          </w:tcPr>
          <w:p w14:paraId="40E1C56B" w14:textId="77777777" w:rsidR="00D47A7E" w:rsidRPr="00596A15" w:rsidRDefault="00D47A7E" w:rsidP="003F4366">
            <w:pPr>
              <w:spacing w:after="0" w:line="276" w:lineRule="auto"/>
              <w:jc w:val="right"/>
              <w:rPr>
                <w:rFonts w:ascii="Calibri" w:eastAsia="Times New Roman" w:hAnsi="Calibri" w:cs="Times New Roman"/>
                <w:color w:val="595959" w:themeColor="text1" w:themeTint="A6"/>
                <w:sz w:val="18"/>
                <w:szCs w:val="18"/>
                <w:lang w:eastAsia="el-GR"/>
              </w:rPr>
            </w:pPr>
            <w:r w:rsidRPr="00596A15">
              <w:rPr>
                <w:rFonts w:ascii="Calibri" w:eastAsia="Times New Roman" w:hAnsi="Calibri" w:cs="Times New Roman"/>
                <w:color w:val="595959" w:themeColor="text1" w:themeTint="A6"/>
                <w:sz w:val="18"/>
                <w:szCs w:val="18"/>
                <w:lang w:eastAsia="el-GR"/>
              </w:rPr>
              <w:t>261</w:t>
            </w:r>
          </w:p>
        </w:tc>
      </w:tr>
      <w:tr w:rsidR="00D47A7E" w:rsidRPr="00BE6D01" w14:paraId="7B2EB690" w14:textId="77777777" w:rsidTr="003F4366">
        <w:trPr>
          <w:trHeight w:val="300"/>
          <w:jc w:val="center"/>
        </w:trPr>
        <w:tc>
          <w:tcPr>
            <w:tcW w:w="2596" w:type="dxa"/>
            <w:vAlign w:val="center"/>
            <w:hideMark/>
          </w:tcPr>
          <w:p w14:paraId="595F995B" w14:textId="77777777" w:rsidR="00D47A7E" w:rsidRPr="00083341" w:rsidRDefault="00D47A7E" w:rsidP="003F4366">
            <w:pPr>
              <w:spacing w:after="0" w:line="276" w:lineRule="auto"/>
              <w:rPr>
                <w:rFonts w:ascii="Calibri" w:eastAsia="Times New Roman" w:hAnsi="Calibri" w:cs="Times New Roman"/>
                <w:color w:val="595959" w:themeColor="text1" w:themeTint="A6"/>
                <w:sz w:val="18"/>
                <w:szCs w:val="18"/>
                <w:lang w:eastAsia="el-GR"/>
              </w:rPr>
            </w:pPr>
            <w:r w:rsidRPr="00083341">
              <w:rPr>
                <w:rFonts w:ascii="Calibri" w:eastAsia="Times New Roman" w:hAnsi="Calibri" w:cs="Times New Roman"/>
                <w:color w:val="595959" w:themeColor="text1" w:themeTint="A6"/>
                <w:sz w:val="18"/>
                <w:szCs w:val="18"/>
                <w:lang w:eastAsia="el-GR"/>
              </w:rPr>
              <w:t>Αποδόσεις προς τρίτους</w:t>
            </w:r>
          </w:p>
        </w:tc>
        <w:tc>
          <w:tcPr>
            <w:tcW w:w="1235" w:type="dxa"/>
            <w:noWrap/>
            <w:vAlign w:val="center"/>
          </w:tcPr>
          <w:p w14:paraId="438B242E" w14:textId="77777777" w:rsidR="00D47A7E" w:rsidRPr="0008334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083341">
              <w:rPr>
                <w:rFonts w:ascii="Calibri" w:eastAsia="Times New Roman" w:hAnsi="Calibri" w:cs="Times New Roman"/>
                <w:color w:val="595959" w:themeColor="text1" w:themeTint="A6"/>
                <w:sz w:val="18"/>
                <w:szCs w:val="18"/>
                <w:lang w:val="en-US" w:eastAsia="el-GR"/>
              </w:rPr>
              <w:t>12.265</w:t>
            </w:r>
          </w:p>
        </w:tc>
        <w:tc>
          <w:tcPr>
            <w:tcW w:w="1245" w:type="dxa"/>
            <w:vAlign w:val="center"/>
          </w:tcPr>
          <w:p w14:paraId="4BF7D6AC" w14:textId="77777777" w:rsidR="00D47A7E" w:rsidRPr="0008334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083341">
              <w:rPr>
                <w:rFonts w:ascii="Calibri" w:eastAsia="Times New Roman" w:hAnsi="Calibri" w:cs="Times New Roman"/>
                <w:color w:val="595959" w:themeColor="text1" w:themeTint="A6"/>
                <w:sz w:val="18"/>
                <w:szCs w:val="18"/>
                <w:lang w:eastAsia="el-GR"/>
              </w:rPr>
              <w:t>12.529</w:t>
            </w:r>
          </w:p>
        </w:tc>
        <w:tc>
          <w:tcPr>
            <w:tcW w:w="594" w:type="dxa"/>
            <w:noWrap/>
            <w:vAlign w:val="center"/>
          </w:tcPr>
          <w:p w14:paraId="7DF355C7" w14:textId="77777777" w:rsidR="00D47A7E" w:rsidRPr="00596A15" w:rsidRDefault="00D47A7E" w:rsidP="003F4366">
            <w:pPr>
              <w:spacing w:after="0" w:line="276" w:lineRule="auto"/>
              <w:jc w:val="right"/>
              <w:rPr>
                <w:rFonts w:ascii="Calibri" w:eastAsia="Times New Roman" w:hAnsi="Calibri" w:cs="Times New Roman"/>
                <w:color w:val="595959" w:themeColor="text1" w:themeTint="A6"/>
                <w:sz w:val="18"/>
                <w:szCs w:val="18"/>
                <w:lang w:eastAsia="el-GR"/>
              </w:rPr>
            </w:pPr>
            <w:r w:rsidRPr="00596A15">
              <w:rPr>
                <w:rFonts w:ascii="Calibri" w:eastAsia="Times New Roman" w:hAnsi="Calibri" w:cs="Times New Roman"/>
                <w:color w:val="595959" w:themeColor="text1" w:themeTint="A6"/>
                <w:sz w:val="18"/>
                <w:szCs w:val="18"/>
                <w:lang w:eastAsia="el-GR"/>
              </w:rPr>
              <w:t>264</w:t>
            </w:r>
          </w:p>
        </w:tc>
      </w:tr>
      <w:tr w:rsidR="00D47A7E" w:rsidRPr="00BE6D01" w14:paraId="0E686CF3" w14:textId="77777777" w:rsidTr="003F4366">
        <w:trPr>
          <w:trHeight w:val="300"/>
          <w:jc w:val="center"/>
        </w:trPr>
        <w:tc>
          <w:tcPr>
            <w:tcW w:w="2596" w:type="dxa"/>
            <w:vAlign w:val="center"/>
            <w:hideMark/>
          </w:tcPr>
          <w:p w14:paraId="4A1EBB82" w14:textId="77777777" w:rsidR="00D47A7E" w:rsidRPr="00083341" w:rsidRDefault="00D47A7E" w:rsidP="003F4366">
            <w:pPr>
              <w:spacing w:after="0" w:line="276" w:lineRule="auto"/>
              <w:rPr>
                <w:rFonts w:ascii="Calibri" w:eastAsia="Times New Roman" w:hAnsi="Calibri" w:cs="Times New Roman"/>
                <w:color w:val="595959" w:themeColor="text1" w:themeTint="A6"/>
                <w:sz w:val="18"/>
                <w:szCs w:val="18"/>
                <w:lang w:eastAsia="el-GR"/>
              </w:rPr>
            </w:pPr>
            <w:r w:rsidRPr="00083341">
              <w:rPr>
                <w:rFonts w:ascii="Calibri" w:eastAsia="Times New Roman" w:hAnsi="Calibri" w:cs="Times New Roman"/>
                <w:color w:val="595959" w:themeColor="text1" w:themeTint="A6"/>
                <w:sz w:val="18"/>
                <w:szCs w:val="18"/>
                <w:lang w:eastAsia="el-GR"/>
              </w:rPr>
              <w:t>Άλλες δαπάνες</w:t>
            </w:r>
          </w:p>
        </w:tc>
        <w:tc>
          <w:tcPr>
            <w:tcW w:w="1235" w:type="dxa"/>
            <w:noWrap/>
            <w:vAlign w:val="center"/>
          </w:tcPr>
          <w:p w14:paraId="180C342F" w14:textId="77777777" w:rsidR="00D47A7E" w:rsidRPr="0008334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083341">
              <w:rPr>
                <w:rFonts w:ascii="Calibri" w:eastAsia="Times New Roman" w:hAnsi="Calibri" w:cs="Times New Roman"/>
                <w:color w:val="595959" w:themeColor="text1" w:themeTint="A6"/>
                <w:sz w:val="18"/>
                <w:szCs w:val="18"/>
                <w:lang w:val="en-US" w:eastAsia="el-GR"/>
              </w:rPr>
              <w:t>2.371</w:t>
            </w:r>
          </w:p>
        </w:tc>
        <w:tc>
          <w:tcPr>
            <w:tcW w:w="1245" w:type="dxa"/>
            <w:vAlign w:val="center"/>
          </w:tcPr>
          <w:p w14:paraId="273AAD44" w14:textId="77777777" w:rsidR="00D47A7E" w:rsidRPr="00083341"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083341">
              <w:rPr>
                <w:rFonts w:ascii="Calibri" w:eastAsia="Times New Roman" w:hAnsi="Calibri" w:cs="Times New Roman"/>
                <w:color w:val="595959" w:themeColor="text1" w:themeTint="A6"/>
                <w:sz w:val="18"/>
                <w:szCs w:val="18"/>
                <w:lang w:eastAsia="el-GR"/>
              </w:rPr>
              <w:t>1.402</w:t>
            </w:r>
          </w:p>
        </w:tc>
        <w:tc>
          <w:tcPr>
            <w:tcW w:w="594" w:type="dxa"/>
            <w:noWrap/>
            <w:vAlign w:val="center"/>
          </w:tcPr>
          <w:p w14:paraId="1115DA67" w14:textId="77777777" w:rsidR="00D47A7E" w:rsidRPr="00596A15" w:rsidRDefault="00D47A7E" w:rsidP="003F4366">
            <w:pPr>
              <w:spacing w:after="0" w:line="276" w:lineRule="auto"/>
              <w:jc w:val="right"/>
              <w:rPr>
                <w:rFonts w:ascii="Calibri" w:eastAsia="Times New Roman" w:hAnsi="Calibri" w:cs="Times New Roman"/>
                <w:color w:val="595959" w:themeColor="text1" w:themeTint="A6"/>
                <w:sz w:val="18"/>
                <w:szCs w:val="18"/>
                <w:lang w:eastAsia="el-GR"/>
              </w:rPr>
            </w:pPr>
            <w:r w:rsidRPr="00596A15">
              <w:rPr>
                <w:rFonts w:ascii="Calibri" w:eastAsia="Times New Roman" w:hAnsi="Calibri" w:cs="Times New Roman"/>
                <w:color w:val="595959" w:themeColor="text1" w:themeTint="A6"/>
                <w:sz w:val="18"/>
                <w:szCs w:val="18"/>
                <w:lang w:eastAsia="el-GR"/>
              </w:rPr>
              <w:t>- 969</w:t>
            </w:r>
          </w:p>
        </w:tc>
      </w:tr>
      <w:tr w:rsidR="00D47A7E" w:rsidRPr="00BE6D01" w14:paraId="732A9DF9" w14:textId="77777777" w:rsidTr="003F4366">
        <w:trPr>
          <w:trHeight w:val="300"/>
          <w:jc w:val="center"/>
        </w:trPr>
        <w:tc>
          <w:tcPr>
            <w:tcW w:w="2596" w:type="dxa"/>
            <w:vAlign w:val="center"/>
          </w:tcPr>
          <w:p w14:paraId="57285D59" w14:textId="77777777" w:rsidR="00D47A7E" w:rsidRPr="00BE6D01" w:rsidRDefault="00D47A7E" w:rsidP="003F4366">
            <w:pPr>
              <w:spacing w:after="0" w:line="276" w:lineRule="auto"/>
              <w:rPr>
                <w:rFonts w:ascii="Calibri" w:eastAsia="Times New Roman" w:hAnsi="Calibri" w:cs="Times New Roman"/>
                <w:b/>
                <w:bCs/>
                <w:color w:val="70AD47" w:themeColor="accent6"/>
                <w:sz w:val="18"/>
                <w:szCs w:val="18"/>
                <w:lang w:eastAsia="el-GR"/>
              </w:rPr>
            </w:pPr>
          </w:p>
        </w:tc>
        <w:tc>
          <w:tcPr>
            <w:tcW w:w="1235" w:type="dxa"/>
            <w:noWrap/>
            <w:vAlign w:val="center"/>
          </w:tcPr>
          <w:p w14:paraId="42920C94" w14:textId="77777777" w:rsidR="00D47A7E" w:rsidRPr="00BE6D01" w:rsidRDefault="00D47A7E" w:rsidP="003F4366">
            <w:pPr>
              <w:spacing w:after="0" w:line="276" w:lineRule="auto"/>
              <w:jc w:val="center"/>
              <w:rPr>
                <w:rFonts w:ascii="Calibri" w:eastAsia="Times New Roman" w:hAnsi="Calibri" w:cs="Times New Roman"/>
                <w:b/>
                <w:color w:val="70AD47" w:themeColor="accent6"/>
                <w:sz w:val="18"/>
                <w:szCs w:val="18"/>
                <w:lang w:eastAsia="el-GR"/>
              </w:rPr>
            </w:pPr>
          </w:p>
        </w:tc>
        <w:tc>
          <w:tcPr>
            <w:tcW w:w="1245" w:type="dxa"/>
            <w:vAlign w:val="center"/>
          </w:tcPr>
          <w:p w14:paraId="77F95D28" w14:textId="77777777" w:rsidR="00D47A7E" w:rsidRPr="00BE6D01" w:rsidRDefault="00D47A7E" w:rsidP="003F4366">
            <w:pPr>
              <w:spacing w:after="0" w:line="276" w:lineRule="auto"/>
              <w:jc w:val="center"/>
              <w:rPr>
                <w:rFonts w:ascii="Calibri" w:eastAsia="Times New Roman" w:hAnsi="Calibri" w:cs="Times New Roman"/>
                <w:b/>
                <w:color w:val="70AD47" w:themeColor="accent6"/>
                <w:sz w:val="18"/>
                <w:szCs w:val="18"/>
                <w:lang w:eastAsia="el-GR"/>
              </w:rPr>
            </w:pPr>
          </w:p>
        </w:tc>
        <w:tc>
          <w:tcPr>
            <w:tcW w:w="594" w:type="dxa"/>
            <w:noWrap/>
            <w:vAlign w:val="center"/>
          </w:tcPr>
          <w:p w14:paraId="3477CE1A" w14:textId="77777777" w:rsidR="00D47A7E" w:rsidRPr="00596A15" w:rsidRDefault="00D47A7E" w:rsidP="003F4366">
            <w:pPr>
              <w:spacing w:after="0" w:line="276" w:lineRule="auto"/>
              <w:jc w:val="right"/>
              <w:rPr>
                <w:rFonts w:ascii="Calibri" w:eastAsia="Times New Roman" w:hAnsi="Calibri" w:cs="Times New Roman"/>
                <w:b/>
                <w:color w:val="595959" w:themeColor="text1" w:themeTint="A6"/>
                <w:sz w:val="18"/>
                <w:szCs w:val="18"/>
                <w:lang w:eastAsia="el-GR"/>
              </w:rPr>
            </w:pPr>
          </w:p>
        </w:tc>
      </w:tr>
      <w:tr w:rsidR="00D47A7E" w:rsidRPr="00BE6D01" w14:paraId="16FC76E2" w14:textId="77777777" w:rsidTr="003F4366">
        <w:trPr>
          <w:trHeight w:val="300"/>
          <w:jc w:val="center"/>
        </w:trPr>
        <w:tc>
          <w:tcPr>
            <w:tcW w:w="2596" w:type="dxa"/>
            <w:tcBorders>
              <w:top w:val="nil"/>
              <w:left w:val="nil"/>
              <w:bottom w:val="single" w:sz="4" w:space="0" w:color="auto"/>
              <w:right w:val="nil"/>
            </w:tcBorders>
            <w:vAlign w:val="center"/>
            <w:hideMark/>
          </w:tcPr>
          <w:p w14:paraId="44FB5431" w14:textId="77777777" w:rsidR="00D47A7E" w:rsidRPr="00083341" w:rsidRDefault="00D47A7E" w:rsidP="003F4366">
            <w:pPr>
              <w:spacing w:after="0" w:line="276" w:lineRule="auto"/>
              <w:rPr>
                <w:rFonts w:ascii="Calibri" w:eastAsia="Times New Roman" w:hAnsi="Calibri" w:cs="Times New Roman"/>
                <w:b/>
                <w:bCs/>
                <w:color w:val="595959" w:themeColor="text1" w:themeTint="A6"/>
                <w:sz w:val="18"/>
                <w:szCs w:val="18"/>
                <w:lang w:eastAsia="el-GR"/>
              </w:rPr>
            </w:pPr>
            <w:r w:rsidRPr="00083341">
              <w:rPr>
                <w:rFonts w:ascii="Calibri" w:eastAsia="Times New Roman" w:hAnsi="Calibri" w:cs="Times New Roman"/>
                <w:b/>
                <w:bCs/>
                <w:color w:val="595959" w:themeColor="text1" w:themeTint="A6"/>
                <w:sz w:val="18"/>
                <w:szCs w:val="18"/>
                <w:lang w:eastAsia="el-GR"/>
              </w:rPr>
              <w:t>ΑΠΟΤΕΛΕΣΜΑ</w:t>
            </w:r>
          </w:p>
        </w:tc>
        <w:tc>
          <w:tcPr>
            <w:tcW w:w="1235" w:type="dxa"/>
            <w:tcBorders>
              <w:top w:val="nil"/>
              <w:left w:val="nil"/>
              <w:bottom w:val="single" w:sz="4" w:space="0" w:color="auto"/>
              <w:right w:val="nil"/>
            </w:tcBorders>
            <w:noWrap/>
            <w:vAlign w:val="center"/>
          </w:tcPr>
          <w:p w14:paraId="78D9A3A7" w14:textId="77777777" w:rsidR="00D47A7E" w:rsidRPr="00083341" w:rsidRDefault="00D47A7E" w:rsidP="003F4366">
            <w:pPr>
              <w:spacing w:after="0" w:line="276" w:lineRule="auto"/>
              <w:jc w:val="center"/>
              <w:rPr>
                <w:rFonts w:ascii="Calibri" w:eastAsia="Times New Roman" w:hAnsi="Calibri" w:cs="Times New Roman"/>
                <w:b/>
                <w:color w:val="595959" w:themeColor="text1" w:themeTint="A6"/>
                <w:sz w:val="18"/>
                <w:szCs w:val="18"/>
                <w:lang w:eastAsia="el-GR"/>
              </w:rPr>
            </w:pPr>
            <w:r w:rsidRPr="00083341">
              <w:rPr>
                <w:rFonts w:ascii="Calibri" w:eastAsia="Times New Roman" w:hAnsi="Calibri" w:cs="Times New Roman"/>
                <w:b/>
                <w:color w:val="595959" w:themeColor="text1" w:themeTint="A6"/>
                <w:sz w:val="18"/>
                <w:szCs w:val="18"/>
                <w:lang w:val="en-US" w:eastAsia="el-GR"/>
              </w:rPr>
              <w:t>565</w:t>
            </w:r>
          </w:p>
        </w:tc>
        <w:tc>
          <w:tcPr>
            <w:tcW w:w="1245" w:type="dxa"/>
            <w:tcBorders>
              <w:top w:val="nil"/>
              <w:left w:val="nil"/>
              <w:bottom w:val="single" w:sz="4" w:space="0" w:color="auto"/>
              <w:right w:val="nil"/>
            </w:tcBorders>
            <w:vAlign w:val="center"/>
          </w:tcPr>
          <w:p w14:paraId="5068454A" w14:textId="77777777" w:rsidR="00D47A7E" w:rsidRPr="00596A15" w:rsidRDefault="00D47A7E" w:rsidP="003F4366">
            <w:pPr>
              <w:spacing w:after="0" w:line="276" w:lineRule="auto"/>
              <w:jc w:val="center"/>
              <w:rPr>
                <w:rFonts w:ascii="Calibri" w:eastAsia="Times New Roman" w:hAnsi="Calibri" w:cs="Times New Roman"/>
                <w:b/>
                <w:color w:val="70AD47" w:themeColor="accent6"/>
                <w:sz w:val="18"/>
                <w:szCs w:val="18"/>
                <w:lang w:eastAsia="el-GR"/>
              </w:rPr>
            </w:pPr>
            <w:r>
              <w:rPr>
                <w:rFonts w:ascii="Calibri" w:eastAsia="Times New Roman" w:hAnsi="Calibri" w:cs="Times New Roman"/>
                <w:b/>
                <w:color w:val="595959" w:themeColor="text1" w:themeTint="A6"/>
                <w:sz w:val="18"/>
                <w:szCs w:val="18"/>
                <w:lang w:eastAsia="el-GR"/>
              </w:rPr>
              <w:t>345</w:t>
            </w:r>
          </w:p>
        </w:tc>
        <w:tc>
          <w:tcPr>
            <w:tcW w:w="594" w:type="dxa"/>
            <w:tcBorders>
              <w:top w:val="nil"/>
              <w:left w:val="nil"/>
              <w:bottom w:val="single" w:sz="4" w:space="0" w:color="auto"/>
              <w:right w:val="nil"/>
            </w:tcBorders>
            <w:noWrap/>
            <w:vAlign w:val="center"/>
          </w:tcPr>
          <w:p w14:paraId="4B36F908" w14:textId="77777777" w:rsidR="00D47A7E" w:rsidRPr="00596A15" w:rsidRDefault="00D47A7E" w:rsidP="003F4366">
            <w:pPr>
              <w:spacing w:after="0" w:line="276" w:lineRule="auto"/>
              <w:jc w:val="right"/>
              <w:rPr>
                <w:rFonts w:ascii="Calibri" w:eastAsia="Times New Roman" w:hAnsi="Calibri" w:cs="Times New Roman"/>
                <w:b/>
                <w:color w:val="595959" w:themeColor="text1" w:themeTint="A6"/>
                <w:sz w:val="18"/>
                <w:szCs w:val="18"/>
                <w:lang w:eastAsia="el-GR"/>
              </w:rPr>
            </w:pPr>
            <w:r w:rsidRPr="00596A15">
              <w:rPr>
                <w:rFonts w:ascii="Calibri" w:eastAsia="Times New Roman" w:hAnsi="Calibri" w:cs="Times New Roman"/>
                <w:b/>
                <w:color w:val="595959" w:themeColor="text1" w:themeTint="A6"/>
                <w:sz w:val="18"/>
                <w:szCs w:val="18"/>
                <w:lang w:eastAsia="el-GR"/>
              </w:rPr>
              <w:t>- 221</w:t>
            </w:r>
          </w:p>
        </w:tc>
      </w:tr>
      <w:tr w:rsidR="00D47A7E" w:rsidRPr="00BE6D01" w14:paraId="14AC8EEF" w14:textId="77777777" w:rsidTr="003F4366">
        <w:trPr>
          <w:trHeight w:val="300"/>
          <w:jc w:val="center"/>
        </w:trPr>
        <w:tc>
          <w:tcPr>
            <w:tcW w:w="5670" w:type="dxa"/>
            <w:gridSpan w:val="4"/>
            <w:tcBorders>
              <w:top w:val="single" w:sz="4" w:space="0" w:color="auto"/>
              <w:left w:val="nil"/>
              <w:right w:val="nil"/>
            </w:tcBorders>
            <w:vAlign w:val="center"/>
          </w:tcPr>
          <w:p w14:paraId="6E6980CF" w14:textId="77777777" w:rsidR="00D47A7E" w:rsidRPr="00083341" w:rsidRDefault="00D47A7E" w:rsidP="003F4366">
            <w:pPr>
              <w:spacing w:after="0" w:line="276" w:lineRule="auto"/>
              <w:jc w:val="both"/>
              <w:rPr>
                <w:rFonts w:ascii="Calibri" w:eastAsia="Times New Roman" w:hAnsi="Calibri" w:cs="Times New Roman"/>
                <w:bCs/>
                <w:color w:val="595959" w:themeColor="text1" w:themeTint="A6"/>
                <w:sz w:val="16"/>
                <w:szCs w:val="16"/>
                <w:lang w:eastAsia="el-GR"/>
              </w:rPr>
            </w:pPr>
            <w:r w:rsidRPr="00083341">
              <w:rPr>
                <w:rFonts w:ascii="Calibri" w:eastAsia="Times New Roman" w:hAnsi="Calibri" w:cs="Times New Roman"/>
                <w:bCs/>
                <w:color w:val="595959" w:themeColor="text1" w:themeTint="A6"/>
                <w:sz w:val="16"/>
                <w:szCs w:val="16"/>
                <w:lang w:eastAsia="el-GR"/>
              </w:rPr>
              <w:t>Σημείωση: Οι μικρές αποκλίσεις στα σύνολα οφείλονται σε στρογγυλοποιήσεις.</w:t>
            </w:r>
          </w:p>
          <w:p w14:paraId="607F74B1" w14:textId="77777777" w:rsidR="00D47A7E" w:rsidRPr="00BE6D01" w:rsidRDefault="00D47A7E" w:rsidP="003F4366">
            <w:pPr>
              <w:spacing w:after="0" w:line="276" w:lineRule="auto"/>
              <w:rPr>
                <w:rFonts w:ascii="Calibri" w:eastAsia="Times New Roman" w:hAnsi="Calibri" w:cs="Times New Roman"/>
                <w:b/>
                <w:color w:val="70AD47" w:themeColor="accent6"/>
                <w:lang w:eastAsia="el-GR"/>
              </w:rPr>
            </w:pPr>
            <w:r w:rsidRPr="00083341">
              <w:rPr>
                <w:rFonts w:ascii="Calibri" w:eastAsia="Times New Roman" w:hAnsi="Calibri" w:cs="Times New Roman"/>
                <w:bCs/>
                <w:color w:val="595959" w:themeColor="text1" w:themeTint="A6"/>
                <w:sz w:val="16"/>
                <w:szCs w:val="16"/>
                <w:lang w:eastAsia="el-GR"/>
              </w:rPr>
              <w:t>Πηγή: Υπουργείο Εργασίας και Κοινωνικών Υποθέσεων.</w:t>
            </w:r>
          </w:p>
        </w:tc>
      </w:tr>
    </w:tbl>
    <w:p w14:paraId="3AF41821" w14:textId="77777777" w:rsidR="00D47A7E" w:rsidRPr="00BE6D01" w:rsidRDefault="00D47A7E" w:rsidP="00D47A7E">
      <w:pPr>
        <w:spacing w:after="0" w:line="276" w:lineRule="auto"/>
        <w:jc w:val="both"/>
        <w:rPr>
          <w:rFonts w:ascii="Calibri" w:eastAsia="Calibri" w:hAnsi="Calibri" w:cs="Times New Roman"/>
          <w:color w:val="70AD47" w:themeColor="accent6"/>
        </w:rPr>
      </w:pPr>
    </w:p>
    <w:p w14:paraId="414E7165" w14:textId="77777777" w:rsidR="00D47A7E" w:rsidRPr="00884190" w:rsidRDefault="00D47A7E" w:rsidP="00D47A7E">
      <w:pPr>
        <w:spacing w:line="276" w:lineRule="auto"/>
        <w:jc w:val="both"/>
        <w:rPr>
          <w:rFonts w:ascii="Calibri" w:eastAsia="Calibri" w:hAnsi="Calibri" w:cs="Times New Roman"/>
          <w:color w:val="595959" w:themeColor="text1" w:themeTint="A6"/>
        </w:rPr>
      </w:pPr>
      <w:r w:rsidRPr="00884190">
        <w:rPr>
          <w:rFonts w:ascii="Calibri" w:eastAsia="Calibri" w:hAnsi="Calibri" w:cs="Times New Roman"/>
          <w:color w:val="595959" w:themeColor="text1" w:themeTint="A6"/>
        </w:rPr>
        <w:t>Οι δαπάνες για</w:t>
      </w:r>
      <w:bookmarkEnd w:id="168"/>
      <w:r w:rsidRPr="00884190">
        <w:rPr>
          <w:rFonts w:ascii="Calibri" w:eastAsia="Calibri" w:hAnsi="Calibri" w:cs="Times New Roman"/>
          <w:color w:val="595959" w:themeColor="text1" w:themeTint="A6"/>
        </w:rPr>
        <w:t xml:space="preserve"> την καταβολή συντάξεων (κύριων και επικουρικών) είναι αυξημένες κατά 827</w:t>
      </w:r>
      <w:r>
        <w:rPr>
          <w:rFonts w:ascii="Calibri" w:eastAsia="Calibri" w:hAnsi="Calibri" w:cs="Times New Roman"/>
          <w:color w:val="595959" w:themeColor="text1" w:themeTint="A6"/>
        </w:rPr>
        <w:t xml:space="preserve"> εκατ. ευρώ.</w:t>
      </w:r>
      <w:r w:rsidRPr="00884190">
        <w:rPr>
          <w:rFonts w:ascii="Calibri" w:eastAsia="Calibri" w:hAnsi="Calibri" w:cs="Times New Roman"/>
          <w:color w:val="595959" w:themeColor="text1" w:themeTint="A6"/>
        </w:rPr>
        <w:t xml:space="preserve"> </w:t>
      </w:r>
      <w:r>
        <w:rPr>
          <w:rFonts w:ascii="Calibri" w:eastAsia="Calibri" w:hAnsi="Calibri" w:cs="Times New Roman"/>
          <w:color w:val="595959" w:themeColor="text1" w:themeTint="A6"/>
        </w:rPr>
        <w:t>Ο</w:t>
      </w:r>
      <w:r w:rsidRPr="00884190">
        <w:rPr>
          <w:rFonts w:ascii="Calibri" w:eastAsia="Calibri" w:hAnsi="Calibri" w:cs="Times New Roman"/>
          <w:color w:val="595959" w:themeColor="text1" w:themeTint="A6"/>
        </w:rPr>
        <w:t xml:space="preserve">ι άλλες παροχές και εφάπαξ </w:t>
      </w:r>
      <w:r>
        <w:rPr>
          <w:rFonts w:ascii="Calibri" w:eastAsia="Calibri" w:hAnsi="Calibri" w:cs="Times New Roman"/>
          <w:color w:val="595959" w:themeColor="text1" w:themeTint="A6"/>
        </w:rPr>
        <w:t xml:space="preserve">είναι </w:t>
      </w:r>
      <w:r w:rsidRPr="00884190">
        <w:rPr>
          <w:rFonts w:ascii="Calibri" w:eastAsia="Calibri" w:hAnsi="Calibri" w:cs="Times New Roman"/>
          <w:color w:val="595959" w:themeColor="text1" w:themeTint="A6"/>
        </w:rPr>
        <w:t>αυξημένες κατά 261 εκατ. ευρώ</w:t>
      </w:r>
      <w:r>
        <w:rPr>
          <w:rFonts w:ascii="Calibri" w:eastAsia="Calibri" w:hAnsi="Calibri" w:cs="Times New Roman"/>
          <w:color w:val="595959" w:themeColor="text1" w:themeTint="A6"/>
        </w:rPr>
        <w:t>, αύξηση που, κατά κύριο λόγο, οφείλεται στην αύξηση των δαπανών εφάπαξ κατά 275 εκατ. ευρώ το 2021,</w:t>
      </w:r>
      <w:r w:rsidRPr="00884190">
        <w:rPr>
          <w:rFonts w:ascii="Calibri" w:eastAsia="Calibri" w:hAnsi="Calibri" w:cs="Times New Roman"/>
          <w:color w:val="595959" w:themeColor="text1" w:themeTint="A6"/>
        </w:rPr>
        <w:t xml:space="preserve"> </w:t>
      </w:r>
      <w:r>
        <w:rPr>
          <w:rFonts w:ascii="Calibri" w:eastAsia="Calibri" w:hAnsi="Calibri" w:cs="Times New Roman"/>
          <w:color w:val="595959" w:themeColor="text1" w:themeTint="A6"/>
        </w:rPr>
        <w:t>ενώ</w:t>
      </w:r>
      <w:r w:rsidRPr="00884190">
        <w:rPr>
          <w:rFonts w:ascii="Calibri" w:eastAsia="Calibri" w:hAnsi="Calibri" w:cs="Times New Roman"/>
          <w:color w:val="595959" w:themeColor="text1" w:themeTint="A6"/>
        </w:rPr>
        <w:t xml:space="preserve"> οι αποδόσεις προς</w:t>
      </w:r>
      <w:r>
        <w:rPr>
          <w:rFonts w:ascii="Calibri" w:eastAsia="Calibri" w:hAnsi="Calibri" w:cs="Times New Roman"/>
          <w:color w:val="595959" w:themeColor="text1" w:themeTint="A6"/>
        </w:rPr>
        <w:t xml:space="preserve"> τρίτους είναι αυξημένες κατά 264</w:t>
      </w:r>
      <w:r w:rsidRPr="00884190">
        <w:rPr>
          <w:rFonts w:ascii="Calibri" w:eastAsia="Calibri" w:hAnsi="Calibri" w:cs="Times New Roman"/>
          <w:color w:val="595959" w:themeColor="text1" w:themeTint="A6"/>
        </w:rPr>
        <w:t xml:space="preserve"> εκατ. ευρώ. Οι </w:t>
      </w:r>
      <w:r w:rsidRPr="00884190">
        <w:rPr>
          <w:rFonts w:ascii="Calibri" w:eastAsia="Calibri" w:hAnsi="Calibri" w:cs="Times New Roman"/>
          <w:color w:val="595959" w:themeColor="text1" w:themeTint="A6"/>
        </w:rPr>
        <w:lastRenderedPageBreak/>
        <w:t xml:space="preserve">“άλλες δαπάνες” </w:t>
      </w:r>
      <w:r>
        <w:rPr>
          <w:rFonts w:ascii="Calibri" w:eastAsia="Calibri" w:hAnsi="Calibri" w:cs="Times New Roman"/>
          <w:color w:val="595959" w:themeColor="text1" w:themeTint="A6"/>
        </w:rPr>
        <w:t>εμφανίζονται</w:t>
      </w:r>
      <w:r w:rsidRPr="00884190">
        <w:rPr>
          <w:rFonts w:ascii="Calibri" w:eastAsia="Calibri" w:hAnsi="Calibri" w:cs="Times New Roman"/>
          <w:color w:val="595959" w:themeColor="text1" w:themeTint="A6"/>
        </w:rPr>
        <w:t xml:space="preserve"> μειωμένες κατά 969 εκατ. ευρώ</w:t>
      </w:r>
      <w:r>
        <w:rPr>
          <w:rFonts w:ascii="Calibri" w:eastAsia="Calibri" w:hAnsi="Calibri" w:cs="Times New Roman"/>
          <w:color w:val="595959" w:themeColor="text1" w:themeTint="A6"/>
        </w:rPr>
        <w:t>, κυρίως λόγω της μείωσης των δαπανών καταβολής αναδρομικών (1.197 εκατ. ευρώ το 2020 έναντι 107 εκατ. ευρώ το 2021).</w:t>
      </w:r>
    </w:p>
    <w:p w14:paraId="79610D80" w14:textId="77777777" w:rsidR="00D47A7E" w:rsidRPr="00611BFF" w:rsidRDefault="00D47A7E" w:rsidP="00D47A7E">
      <w:pPr>
        <w:spacing w:line="276" w:lineRule="auto"/>
        <w:jc w:val="both"/>
        <w:rPr>
          <w:rFonts w:ascii="Calibri" w:eastAsia="Calibri" w:hAnsi="Calibri" w:cs="Times New Roman"/>
          <w:color w:val="595959" w:themeColor="text1" w:themeTint="A6"/>
        </w:rPr>
      </w:pPr>
      <w:r w:rsidRPr="00611BFF">
        <w:rPr>
          <w:rFonts w:ascii="Calibri" w:eastAsia="Calibri" w:hAnsi="Calibri" w:cs="Times New Roman"/>
          <w:color w:val="595959" w:themeColor="text1" w:themeTint="A6"/>
        </w:rPr>
        <w:t xml:space="preserve">Στο τέλος Δεκεμβρίου 2021, ο </w:t>
      </w:r>
      <w:r>
        <w:rPr>
          <w:rFonts w:ascii="Calibri" w:eastAsia="Calibri" w:hAnsi="Calibri" w:cs="Times New Roman"/>
          <w:color w:val="595959" w:themeColor="text1" w:themeTint="A6"/>
          <w:lang w:val="en-US"/>
        </w:rPr>
        <w:t>e</w:t>
      </w:r>
      <w:r w:rsidRPr="005116A3">
        <w:rPr>
          <w:rFonts w:ascii="Calibri" w:eastAsia="Calibri" w:hAnsi="Calibri" w:cs="Times New Roman"/>
          <w:color w:val="595959" w:themeColor="text1" w:themeTint="A6"/>
        </w:rPr>
        <w:t>-</w:t>
      </w:r>
      <w:r w:rsidRPr="00611BFF">
        <w:rPr>
          <w:rFonts w:ascii="Calibri" w:eastAsia="Calibri" w:hAnsi="Calibri" w:cs="Times New Roman"/>
          <w:color w:val="595959" w:themeColor="text1" w:themeTint="A6"/>
        </w:rPr>
        <w:t>ΕΦΚΑ κατέβαλε 2.716.487 συντάξεις σε 2.427.397 συνταξιούχους, αριθμός αυξημένος σε σχέση με το τέλος του 3</w:t>
      </w:r>
      <w:r w:rsidRPr="00611BFF">
        <w:rPr>
          <w:rFonts w:ascii="Calibri" w:eastAsia="Calibri" w:hAnsi="Calibri" w:cs="Times New Roman"/>
          <w:color w:val="595959" w:themeColor="text1" w:themeTint="A6"/>
          <w:vertAlign w:val="superscript"/>
        </w:rPr>
        <w:t>ου</w:t>
      </w:r>
      <w:r w:rsidRPr="00611BFF">
        <w:rPr>
          <w:rFonts w:ascii="Calibri" w:eastAsia="Calibri" w:hAnsi="Calibri" w:cs="Times New Roman"/>
          <w:color w:val="595959" w:themeColor="text1" w:themeTint="A6"/>
        </w:rPr>
        <w:t xml:space="preserve"> τριμήνου 2021 που καταβλήθηκαν 2.707.020 συντάξεις (σε 2.427.783 συνταξιούχους), καθώς και συγκρινόμενος με τον Δεκέμβριο 2020 (όπου καταβλήθηκαν 2.711.870 συντάξεις σε 2.446.506 συνταξιούχους).</w:t>
      </w:r>
    </w:p>
    <w:p w14:paraId="1B4FD13A" w14:textId="77777777" w:rsidR="00D47A7E" w:rsidRPr="00384AD6" w:rsidRDefault="00D47A7E" w:rsidP="00D47A7E">
      <w:pPr>
        <w:spacing w:after="0" w:line="276" w:lineRule="auto"/>
        <w:jc w:val="both"/>
        <w:rPr>
          <w:rFonts w:ascii="Calibri" w:eastAsia="Calibri" w:hAnsi="Calibri" w:cs="Times New Roman"/>
          <w:color w:val="595959" w:themeColor="text1" w:themeTint="A6"/>
        </w:rPr>
      </w:pPr>
      <w:r w:rsidRPr="00384AD6">
        <w:rPr>
          <w:rFonts w:ascii="Calibri" w:eastAsia="Calibri" w:hAnsi="Calibri" w:cs="Times New Roman"/>
          <w:color w:val="595959" w:themeColor="text1" w:themeTint="A6"/>
        </w:rPr>
        <w:t xml:space="preserve">Σύμφωνα με τα στοιχεία που έθεσε στη διάθεσή μας ο </w:t>
      </w:r>
      <w:r>
        <w:rPr>
          <w:rFonts w:ascii="Calibri" w:eastAsia="Calibri" w:hAnsi="Calibri" w:cs="Times New Roman"/>
          <w:color w:val="595959" w:themeColor="text1" w:themeTint="A6"/>
          <w:lang w:val="en-US"/>
        </w:rPr>
        <w:t>e</w:t>
      </w:r>
      <w:r w:rsidRPr="005116A3">
        <w:rPr>
          <w:rFonts w:ascii="Calibri" w:eastAsia="Calibri" w:hAnsi="Calibri" w:cs="Times New Roman"/>
          <w:color w:val="595959" w:themeColor="text1" w:themeTint="A6"/>
        </w:rPr>
        <w:t>-</w:t>
      </w:r>
      <w:r w:rsidRPr="00384AD6">
        <w:rPr>
          <w:rFonts w:ascii="Calibri" w:eastAsia="Calibri" w:hAnsi="Calibri" w:cs="Times New Roman"/>
          <w:color w:val="595959" w:themeColor="text1" w:themeTint="A6"/>
        </w:rPr>
        <w:t>ΕΦΚΑ, ο συνολικός αριθμός εκκρεμών αιτήσεων κύριας συνταξιοδότησης</w:t>
      </w:r>
      <w:r w:rsidRPr="00384AD6">
        <w:rPr>
          <w:rFonts w:ascii="Calibri" w:eastAsia="Calibri" w:hAnsi="Calibri" w:cs="Times New Roman"/>
          <w:color w:val="595959" w:themeColor="text1" w:themeTint="A6"/>
          <w:vertAlign w:val="superscript"/>
        </w:rPr>
        <w:footnoteReference w:id="11"/>
      </w:r>
      <w:r w:rsidRPr="00384AD6">
        <w:rPr>
          <w:rFonts w:ascii="Calibri" w:eastAsia="Calibri" w:hAnsi="Calibri" w:cs="Times New Roman"/>
          <w:color w:val="595959" w:themeColor="text1" w:themeTint="A6"/>
        </w:rPr>
        <w:t xml:space="preserve"> μειώθηκε από 125.373 στο τέλος Σεπτεμβρίου 2021 (και εκτιμώμενη δαπάνη</w:t>
      </w:r>
      <w:r w:rsidRPr="00384AD6">
        <w:rPr>
          <w:rFonts w:ascii="Calibri" w:eastAsia="Calibri" w:hAnsi="Calibri" w:cs="Times New Roman"/>
          <w:color w:val="595959" w:themeColor="text1" w:themeTint="A6"/>
          <w:vertAlign w:val="superscript"/>
        </w:rPr>
        <w:footnoteReference w:id="12"/>
      </w:r>
      <w:r w:rsidRPr="00384AD6">
        <w:rPr>
          <w:rFonts w:ascii="Calibri" w:eastAsia="Calibri" w:hAnsi="Calibri" w:cs="Times New Roman"/>
          <w:color w:val="595959" w:themeColor="text1" w:themeTint="A6"/>
        </w:rPr>
        <w:t xml:space="preserve"> περίπου 420,4 εκατ. ευρώ) σε 118.269 (και εκτιμώμενη δαπάνη περίπου 300,7 εκατ. ευρώ) στο τέλος </w:t>
      </w:r>
      <w:r w:rsidR="0086799B">
        <w:rPr>
          <w:rFonts w:ascii="Calibri" w:eastAsia="Calibri" w:hAnsi="Calibri" w:cs="Times New Roman"/>
          <w:color w:val="595959" w:themeColor="text1" w:themeTint="A6"/>
        </w:rPr>
        <w:t>Δεκεμβρίου</w:t>
      </w:r>
      <w:r w:rsidRPr="00384AD6">
        <w:rPr>
          <w:rFonts w:ascii="Calibri" w:eastAsia="Calibri" w:hAnsi="Calibri" w:cs="Times New Roman"/>
          <w:color w:val="595959" w:themeColor="text1" w:themeTint="A6"/>
        </w:rPr>
        <w:t xml:space="preserve"> 2021. Οι ληξιπρόθεσμες (εκκρεμείς πάνω από 90 ημέρες) αιτήσεις κύριας συνταξιοδότησης μειώθηκαν από 99.404 στο τέλος Σεπτεμβρίου 2021 (εκτιμώμενη δαπάνη περίπου 408 εκατ. ευρώ) σε 86.328 στο τέλος Δεκεμβρίου 2021 (εκτιμώμενη δαπάνη περίπου 286 εκατ. ευρώ). Στον επόμενο πίνακα φαίνεται η εξέλιξη των εκκρεμών και των ληξιπρόθεσμων αιτήσεων συνταξιοδότησης στο τέλος κάθε τριμήνου για τα έτη 2019 </w:t>
      </w:r>
      <w:r>
        <w:rPr>
          <w:rFonts w:ascii="Calibri" w:eastAsia="Calibri" w:hAnsi="Calibri" w:cs="Times New Roman"/>
          <w:color w:val="595959" w:themeColor="text1" w:themeTint="A6"/>
        </w:rPr>
        <w:t>έως</w:t>
      </w:r>
      <w:r w:rsidRPr="00384AD6">
        <w:rPr>
          <w:rFonts w:ascii="Calibri" w:eastAsia="Calibri" w:hAnsi="Calibri" w:cs="Times New Roman"/>
          <w:color w:val="595959" w:themeColor="text1" w:themeTint="A6"/>
        </w:rPr>
        <w:t xml:space="preserve"> 2021, καθώς και η σχετική εκτιμώμενη δαπάνη</w:t>
      </w:r>
      <w:r w:rsidRPr="00384AD6">
        <w:rPr>
          <w:rStyle w:val="FootnoteReference"/>
          <w:rFonts w:ascii="Calibri" w:eastAsia="Calibri" w:hAnsi="Calibri" w:cs="Times New Roman"/>
          <w:color w:val="595959" w:themeColor="text1" w:themeTint="A6"/>
        </w:rPr>
        <w:footnoteReference w:id="13"/>
      </w:r>
      <w:r w:rsidRPr="00384AD6">
        <w:rPr>
          <w:rFonts w:ascii="Calibri" w:eastAsia="Calibri" w:hAnsi="Calibri" w:cs="Times New Roman"/>
          <w:color w:val="595959" w:themeColor="text1" w:themeTint="A6"/>
        </w:rPr>
        <w:t>.</w:t>
      </w:r>
    </w:p>
    <w:p w14:paraId="601A5CEF" w14:textId="77777777" w:rsidR="00D47A7E" w:rsidRPr="00384AD6" w:rsidRDefault="00D47A7E" w:rsidP="00D47A7E">
      <w:pPr>
        <w:spacing w:after="0" w:line="276" w:lineRule="auto"/>
        <w:jc w:val="both"/>
        <w:rPr>
          <w:rFonts w:ascii="Calibri" w:eastAsia="Calibri" w:hAnsi="Calibri" w:cs="Times New Roman"/>
          <w:color w:val="595959" w:themeColor="text1" w:themeTint="A6"/>
        </w:rPr>
      </w:pPr>
    </w:p>
    <w:p w14:paraId="6E6C25DF" w14:textId="77777777" w:rsidR="00D47A7E" w:rsidRPr="00384AD6" w:rsidRDefault="00D47A7E" w:rsidP="00D47A7E">
      <w:pPr>
        <w:pStyle w:val="Caption"/>
        <w:jc w:val="center"/>
        <w:rPr>
          <w:rFonts w:ascii="Calibri" w:eastAsia="Calibri" w:hAnsi="Calibri" w:cs="Times New Roman"/>
          <w:i w:val="0"/>
          <w:iCs w:val="0"/>
          <w:color w:val="595959" w:themeColor="text1" w:themeTint="A6"/>
        </w:rPr>
      </w:pPr>
      <w:bookmarkStart w:id="171" w:name="_Toc56610199"/>
      <w:bookmarkStart w:id="172" w:name="_Toc67391717"/>
      <w:bookmarkStart w:id="173" w:name="_Toc98160552"/>
      <w:r w:rsidRPr="00384AD6">
        <w:rPr>
          <w:color w:val="595959" w:themeColor="text1" w:themeTint="A6"/>
        </w:rPr>
        <w:t xml:space="preserve">Πίνακας </w:t>
      </w:r>
      <w:r w:rsidR="009B7AD0" w:rsidRPr="00384AD6">
        <w:rPr>
          <w:noProof/>
          <w:color w:val="595959" w:themeColor="text1" w:themeTint="A6"/>
        </w:rPr>
        <w:fldChar w:fldCharType="begin"/>
      </w:r>
      <w:r w:rsidRPr="00384AD6">
        <w:rPr>
          <w:noProof/>
          <w:color w:val="595959" w:themeColor="text1" w:themeTint="A6"/>
        </w:rPr>
        <w:instrText xml:space="preserve"> SEQ Πίνακας \* ARABIC </w:instrText>
      </w:r>
      <w:r w:rsidR="009B7AD0" w:rsidRPr="00384AD6">
        <w:rPr>
          <w:noProof/>
          <w:color w:val="595959" w:themeColor="text1" w:themeTint="A6"/>
        </w:rPr>
        <w:fldChar w:fldCharType="separate"/>
      </w:r>
      <w:r w:rsidR="003B23C4">
        <w:rPr>
          <w:noProof/>
          <w:color w:val="595959" w:themeColor="text1" w:themeTint="A6"/>
        </w:rPr>
        <w:t>9</w:t>
      </w:r>
      <w:r w:rsidR="009B7AD0" w:rsidRPr="00384AD6">
        <w:rPr>
          <w:noProof/>
          <w:color w:val="595959" w:themeColor="text1" w:themeTint="A6"/>
        </w:rPr>
        <w:fldChar w:fldCharType="end"/>
      </w:r>
      <w:r w:rsidRPr="00384AD6">
        <w:rPr>
          <w:rFonts w:ascii="Calibri" w:eastAsia="Calibri" w:hAnsi="Calibri" w:cs="Times New Roman"/>
          <w:color w:val="595959" w:themeColor="text1" w:themeTint="A6"/>
        </w:rPr>
        <w:t xml:space="preserve"> Αριθμός και εκτιμώμενα ποσά εκκρεμών και ληξιπρόθεσμων αιτήσεων συνταξιοδότησης στο τέλος κάθε τρίμηνου κατά τα έτη 2019-202</w:t>
      </w:r>
      <w:r>
        <w:rPr>
          <w:rFonts w:ascii="Calibri" w:eastAsia="Calibri" w:hAnsi="Calibri" w:cs="Times New Roman"/>
          <w:color w:val="595959" w:themeColor="text1" w:themeTint="A6"/>
        </w:rPr>
        <w:t>1</w:t>
      </w:r>
      <w:r w:rsidRPr="00384AD6">
        <w:rPr>
          <w:rFonts w:ascii="Calibri" w:eastAsia="Calibri" w:hAnsi="Calibri" w:cs="Times New Roman"/>
          <w:color w:val="595959" w:themeColor="text1" w:themeTint="A6"/>
        </w:rPr>
        <w:t xml:space="preserve"> (ποσά σε ευρώ)</w:t>
      </w:r>
      <w:bookmarkEnd w:id="171"/>
      <w:bookmarkEnd w:id="172"/>
      <w:bookmarkEnd w:id="173"/>
    </w:p>
    <w:tbl>
      <w:tblPr>
        <w:tblW w:w="7939" w:type="dxa"/>
        <w:jc w:val="center"/>
        <w:tblLayout w:type="fixed"/>
        <w:tblLook w:val="04A0" w:firstRow="1" w:lastRow="0" w:firstColumn="1" w:lastColumn="0" w:noHBand="0" w:noVBand="1"/>
      </w:tblPr>
      <w:tblGrid>
        <w:gridCol w:w="1844"/>
        <w:gridCol w:w="1134"/>
        <w:gridCol w:w="1843"/>
        <w:gridCol w:w="283"/>
        <w:gridCol w:w="1276"/>
        <w:gridCol w:w="1559"/>
      </w:tblGrid>
      <w:tr w:rsidR="00D47A7E" w:rsidRPr="009663FC" w14:paraId="4B819CB3" w14:textId="77777777" w:rsidTr="003F4366">
        <w:trPr>
          <w:trHeight w:val="300"/>
          <w:jc w:val="center"/>
        </w:trPr>
        <w:tc>
          <w:tcPr>
            <w:tcW w:w="1844" w:type="dxa"/>
            <w:tcBorders>
              <w:top w:val="nil"/>
              <w:left w:val="nil"/>
              <w:bottom w:val="single" w:sz="4" w:space="0" w:color="auto"/>
              <w:right w:val="nil"/>
            </w:tcBorders>
            <w:vAlign w:val="center"/>
            <w:hideMark/>
          </w:tcPr>
          <w:p w14:paraId="45F5CF2D" w14:textId="77777777" w:rsidR="00D47A7E" w:rsidRPr="00E93EEB" w:rsidRDefault="00D47A7E" w:rsidP="003F4366">
            <w:pPr>
              <w:spacing w:after="200" w:line="276" w:lineRule="auto"/>
              <w:rPr>
                <w:rFonts w:ascii="Calibri" w:eastAsia="Calibri" w:hAnsi="Calibri" w:cs="Times New Roman"/>
                <w:color w:val="595959" w:themeColor="text1" w:themeTint="A6"/>
                <w:sz w:val="16"/>
                <w:szCs w:val="16"/>
              </w:rPr>
            </w:pPr>
          </w:p>
        </w:tc>
        <w:tc>
          <w:tcPr>
            <w:tcW w:w="1134" w:type="dxa"/>
            <w:tcBorders>
              <w:top w:val="nil"/>
              <w:left w:val="nil"/>
              <w:bottom w:val="single" w:sz="4" w:space="0" w:color="auto"/>
              <w:right w:val="nil"/>
            </w:tcBorders>
            <w:noWrap/>
            <w:vAlign w:val="center"/>
          </w:tcPr>
          <w:p w14:paraId="0219D23C" w14:textId="77777777" w:rsidR="00D47A7E" w:rsidRPr="00E93EEB" w:rsidRDefault="00D47A7E" w:rsidP="003F4366">
            <w:pPr>
              <w:spacing w:after="0" w:line="276" w:lineRule="auto"/>
              <w:jc w:val="center"/>
              <w:rPr>
                <w:rFonts w:ascii="Calibri" w:eastAsia="Times New Roman" w:hAnsi="Calibri" w:cs="Times New Roman"/>
                <w:b/>
                <w:color w:val="595959" w:themeColor="text1" w:themeTint="A6"/>
                <w:sz w:val="16"/>
                <w:szCs w:val="16"/>
                <w:lang w:eastAsia="el-GR"/>
              </w:rPr>
            </w:pPr>
            <w:r w:rsidRPr="00E93EEB">
              <w:rPr>
                <w:rFonts w:ascii="Calibri" w:eastAsia="Times New Roman" w:hAnsi="Calibri" w:cs="Times New Roman"/>
                <w:color w:val="595959" w:themeColor="text1" w:themeTint="A6"/>
                <w:sz w:val="18"/>
                <w:szCs w:val="18"/>
                <w:lang w:eastAsia="el-GR"/>
              </w:rPr>
              <w:t>Εκκρεμείς συντάξεις</w:t>
            </w:r>
          </w:p>
        </w:tc>
        <w:tc>
          <w:tcPr>
            <w:tcW w:w="1843" w:type="dxa"/>
            <w:tcBorders>
              <w:top w:val="nil"/>
              <w:left w:val="nil"/>
              <w:bottom w:val="single" w:sz="4" w:space="0" w:color="auto"/>
              <w:right w:val="nil"/>
            </w:tcBorders>
            <w:vAlign w:val="center"/>
          </w:tcPr>
          <w:p w14:paraId="33A2F5F4" w14:textId="77777777" w:rsidR="00D47A7E" w:rsidRPr="00E93EEB" w:rsidRDefault="00D47A7E" w:rsidP="003F4366">
            <w:pPr>
              <w:spacing w:after="0" w:line="276" w:lineRule="auto"/>
              <w:jc w:val="center"/>
              <w:rPr>
                <w:rFonts w:ascii="Calibri" w:eastAsia="Times New Roman" w:hAnsi="Calibri" w:cs="Times New Roman"/>
                <w:b/>
                <w:color w:val="595959" w:themeColor="text1" w:themeTint="A6"/>
                <w:sz w:val="16"/>
                <w:szCs w:val="16"/>
                <w:lang w:eastAsia="el-GR"/>
              </w:rPr>
            </w:pPr>
            <w:r w:rsidRPr="00E93EEB">
              <w:rPr>
                <w:rFonts w:ascii="Calibri" w:eastAsia="Times New Roman" w:hAnsi="Calibri" w:cs="Times New Roman"/>
                <w:color w:val="595959" w:themeColor="text1" w:themeTint="A6"/>
                <w:sz w:val="18"/>
                <w:szCs w:val="18"/>
                <w:lang w:eastAsia="el-GR"/>
              </w:rPr>
              <w:t>Οφειλόμενο ποσό εκκρεμών συντάξεων (εκτίμηση)</w:t>
            </w:r>
          </w:p>
        </w:tc>
        <w:tc>
          <w:tcPr>
            <w:tcW w:w="283" w:type="dxa"/>
            <w:tcBorders>
              <w:top w:val="nil"/>
              <w:left w:val="nil"/>
              <w:bottom w:val="single" w:sz="4" w:space="0" w:color="auto"/>
              <w:right w:val="nil"/>
            </w:tcBorders>
          </w:tcPr>
          <w:p w14:paraId="0DC2674A" w14:textId="77777777" w:rsidR="00D47A7E" w:rsidRPr="00E93EEB" w:rsidRDefault="00D47A7E" w:rsidP="003F4366">
            <w:pPr>
              <w:spacing w:after="0" w:line="276" w:lineRule="auto"/>
              <w:ind w:right="-136"/>
              <w:jc w:val="center"/>
              <w:rPr>
                <w:rFonts w:ascii="Calibri" w:eastAsia="Times New Roman" w:hAnsi="Calibri" w:cs="Times New Roman"/>
                <w:b/>
                <w:color w:val="595959" w:themeColor="text1" w:themeTint="A6"/>
                <w:sz w:val="16"/>
                <w:szCs w:val="16"/>
                <w:lang w:eastAsia="el-GR"/>
              </w:rPr>
            </w:pPr>
          </w:p>
        </w:tc>
        <w:tc>
          <w:tcPr>
            <w:tcW w:w="1276" w:type="dxa"/>
            <w:tcBorders>
              <w:top w:val="nil"/>
              <w:left w:val="nil"/>
              <w:bottom w:val="single" w:sz="4" w:space="0" w:color="auto"/>
              <w:right w:val="nil"/>
            </w:tcBorders>
            <w:vAlign w:val="center"/>
          </w:tcPr>
          <w:p w14:paraId="76013D99" w14:textId="77777777" w:rsidR="00D47A7E" w:rsidRPr="00E93EEB" w:rsidRDefault="00D47A7E" w:rsidP="003F4366">
            <w:pPr>
              <w:spacing w:after="0" w:line="276" w:lineRule="auto"/>
              <w:ind w:hanging="108"/>
              <w:jc w:val="center"/>
              <w:rPr>
                <w:rFonts w:ascii="Calibri" w:eastAsia="Times New Roman" w:hAnsi="Calibri" w:cs="Times New Roman"/>
                <w:b/>
                <w:color w:val="595959" w:themeColor="text1" w:themeTint="A6"/>
                <w:sz w:val="16"/>
                <w:szCs w:val="16"/>
                <w:lang w:eastAsia="el-GR"/>
              </w:rPr>
            </w:pPr>
            <w:r w:rsidRPr="00E93EEB">
              <w:rPr>
                <w:rFonts w:ascii="Calibri" w:eastAsia="Times New Roman" w:hAnsi="Calibri" w:cs="Times New Roman"/>
                <w:color w:val="595959" w:themeColor="text1" w:themeTint="A6"/>
                <w:sz w:val="18"/>
                <w:szCs w:val="18"/>
                <w:lang w:eastAsia="el-GR"/>
              </w:rPr>
              <w:t>Ληξιπρόθεσμες συντάξεις</w:t>
            </w:r>
          </w:p>
        </w:tc>
        <w:tc>
          <w:tcPr>
            <w:tcW w:w="1559" w:type="dxa"/>
            <w:tcBorders>
              <w:top w:val="nil"/>
              <w:left w:val="nil"/>
              <w:bottom w:val="single" w:sz="4" w:space="0" w:color="auto"/>
              <w:right w:val="nil"/>
            </w:tcBorders>
            <w:noWrap/>
            <w:vAlign w:val="center"/>
            <w:hideMark/>
          </w:tcPr>
          <w:p w14:paraId="28A50DDF"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Οφειλόμενο ποσό ληξιπρόθεσμων συντάξεων</w:t>
            </w:r>
          </w:p>
          <w:p w14:paraId="5F11DE14" w14:textId="77777777" w:rsidR="00D47A7E" w:rsidRPr="00E93EEB" w:rsidRDefault="00D47A7E" w:rsidP="003F4366">
            <w:pPr>
              <w:spacing w:after="0" w:line="276" w:lineRule="auto"/>
              <w:jc w:val="center"/>
              <w:rPr>
                <w:rFonts w:ascii="Calibri" w:eastAsia="Times New Roman" w:hAnsi="Calibri" w:cs="Times New Roman"/>
                <w:b/>
                <w:color w:val="595959" w:themeColor="text1" w:themeTint="A6"/>
                <w:sz w:val="16"/>
                <w:szCs w:val="16"/>
                <w:lang w:eastAsia="el-GR"/>
              </w:rPr>
            </w:pPr>
            <w:r w:rsidRPr="00E93EEB">
              <w:rPr>
                <w:rFonts w:ascii="Calibri" w:eastAsia="Times New Roman" w:hAnsi="Calibri" w:cs="Times New Roman"/>
                <w:color w:val="595959" w:themeColor="text1" w:themeTint="A6"/>
                <w:sz w:val="18"/>
                <w:szCs w:val="18"/>
                <w:lang w:eastAsia="el-GR"/>
              </w:rPr>
              <w:t>(εκτίμηση)</w:t>
            </w:r>
          </w:p>
        </w:tc>
      </w:tr>
      <w:tr w:rsidR="00D47A7E" w:rsidRPr="009663FC" w14:paraId="3378C03F" w14:textId="77777777" w:rsidTr="003F4366">
        <w:trPr>
          <w:trHeight w:val="269"/>
          <w:jc w:val="center"/>
        </w:trPr>
        <w:tc>
          <w:tcPr>
            <w:tcW w:w="1844" w:type="dxa"/>
            <w:vAlign w:val="center"/>
            <w:hideMark/>
          </w:tcPr>
          <w:p w14:paraId="46656D66"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2019</w:t>
            </w:r>
          </w:p>
        </w:tc>
        <w:tc>
          <w:tcPr>
            <w:tcW w:w="1134" w:type="dxa"/>
            <w:noWrap/>
            <w:vAlign w:val="center"/>
          </w:tcPr>
          <w:p w14:paraId="3C22AAE3"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123.129</w:t>
            </w:r>
          </w:p>
        </w:tc>
        <w:tc>
          <w:tcPr>
            <w:tcW w:w="1843" w:type="dxa"/>
            <w:vAlign w:val="center"/>
          </w:tcPr>
          <w:p w14:paraId="19028F39"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438.359.576</w:t>
            </w:r>
          </w:p>
        </w:tc>
        <w:tc>
          <w:tcPr>
            <w:tcW w:w="283" w:type="dxa"/>
            <w:vAlign w:val="center"/>
          </w:tcPr>
          <w:p w14:paraId="123D3F7F"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shd w:val="clear" w:color="auto" w:fill="auto"/>
            <w:vAlign w:val="center"/>
          </w:tcPr>
          <w:p w14:paraId="52B9B10B"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91.252</w:t>
            </w:r>
          </w:p>
        </w:tc>
        <w:tc>
          <w:tcPr>
            <w:tcW w:w="1559" w:type="dxa"/>
            <w:shd w:val="clear" w:color="auto" w:fill="auto"/>
            <w:noWrap/>
            <w:vAlign w:val="center"/>
          </w:tcPr>
          <w:p w14:paraId="38C9DEE5"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427.131.259</w:t>
            </w:r>
          </w:p>
        </w:tc>
      </w:tr>
      <w:tr w:rsidR="00D47A7E" w:rsidRPr="009663FC" w14:paraId="7B5B48A6" w14:textId="77777777" w:rsidTr="003F4366">
        <w:trPr>
          <w:trHeight w:val="480"/>
          <w:jc w:val="center"/>
        </w:trPr>
        <w:tc>
          <w:tcPr>
            <w:tcW w:w="1844" w:type="dxa"/>
            <w:vAlign w:val="center"/>
            <w:hideMark/>
          </w:tcPr>
          <w:p w14:paraId="3A740E8C"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2</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2019</w:t>
            </w:r>
          </w:p>
        </w:tc>
        <w:tc>
          <w:tcPr>
            <w:tcW w:w="1134" w:type="dxa"/>
            <w:noWrap/>
            <w:vAlign w:val="center"/>
          </w:tcPr>
          <w:p w14:paraId="115EECA6"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133.835</w:t>
            </w:r>
          </w:p>
        </w:tc>
        <w:tc>
          <w:tcPr>
            <w:tcW w:w="1843" w:type="dxa"/>
            <w:vAlign w:val="center"/>
          </w:tcPr>
          <w:p w14:paraId="01A96357"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468.102.689</w:t>
            </w:r>
          </w:p>
        </w:tc>
        <w:tc>
          <w:tcPr>
            <w:tcW w:w="283" w:type="dxa"/>
            <w:vAlign w:val="center"/>
          </w:tcPr>
          <w:p w14:paraId="5A54BB93"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shd w:val="clear" w:color="auto" w:fill="auto"/>
            <w:vAlign w:val="center"/>
          </w:tcPr>
          <w:p w14:paraId="7FACCE5E"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102.138</w:t>
            </w:r>
          </w:p>
        </w:tc>
        <w:tc>
          <w:tcPr>
            <w:tcW w:w="1559" w:type="dxa"/>
            <w:shd w:val="clear" w:color="auto" w:fill="auto"/>
            <w:noWrap/>
            <w:vAlign w:val="center"/>
          </w:tcPr>
          <w:p w14:paraId="2375DAE5"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456.526.698</w:t>
            </w:r>
          </w:p>
        </w:tc>
      </w:tr>
      <w:tr w:rsidR="00D47A7E" w:rsidRPr="009663FC" w14:paraId="4CE9E929" w14:textId="77777777" w:rsidTr="003F4366">
        <w:trPr>
          <w:trHeight w:val="300"/>
          <w:jc w:val="center"/>
        </w:trPr>
        <w:tc>
          <w:tcPr>
            <w:tcW w:w="1844" w:type="dxa"/>
            <w:vAlign w:val="center"/>
            <w:hideMark/>
          </w:tcPr>
          <w:p w14:paraId="77FEF0C0"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3</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2019</w:t>
            </w:r>
          </w:p>
        </w:tc>
        <w:tc>
          <w:tcPr>
            <w:tcW w:w="1134" w:type="dxa"/>
            <w:noWrap/>
            <w:vAlign w:val="center"/>
          </w:tcPr>
          <w:p w14:paraId="0A66FE0C"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150.398</w:t>
            </w:r>
          </w:p>
        </w:tc>
        <w:tc>
          <w:tcPr>
            <w:tcW w:w="1843" w:type="dxa"/>
            <w:vAlign w:val="center"/>
          </w:tcPr>
          <w:p w14:paraId="2C2CD56C"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535.354.145</w:t>
            </w:r>
          </w:p>
        </w:tc>
        <w:tc>
          <w:tcPr>
            <w:tcW w:w="283" w:type="dxa"/>
            <w:vAlign w:val="center"/>
          </w:tcPr>
          <w:p w14:paraId="4F045983"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shd w:val="clear" w:color="auto" w:fill="auto"/>
            <w:vAlign w:val="center"/>
          </w:tcPr>
          <w:p w14:paraId="74EAE927"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115.443</w:t>
            </w:r>
          </w:p>
        </w:tc>
        <w:tc>
          <w:tcPr>
            <w:tcW w:w="1559" w:type="dxa"/>
            <w:shd w:val="clear" w:color="auto" w:fill="auto"/>
            <w:noWrap/>
            <w:vAlign w:val="center"/>
          </w:tcPr>
          <w:p w14:paraId="72FF72F4"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522.770.478</w:t>
            </w:r>
          </w:p>
        </w:tc>
      </w:tr>
      <w:tr w:rsidR="00D47A7E" w:rsidRPr="009663FC" w14:paraId="2A2E9F4D" w14:textId="77777777" w:rsidTr="003F4366">
        <w:trPr>
          <w:trHeight w:val="517"/>
          <w:jc w:val="center"/>
        </w:trPr>
        <w:tc>
          <w:tcPr>
            <w:tcW w:w="1844" w:type="dxa"/>
            <w:tcBorders>
              <w:bottom w:val="single" w:sz="4" w:space="0" w:color="auto"/>
            </w:tcBorders>
            <w:vAlign w:val="center"/>
            <w:hideMark/>
          </w:tcPr>
          <w:p w14:paraId="44A2A0BD"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2019</w:t>
            </w:r>
          </w:p>
        </w:tc>
        <w:tc>
          <w:tcPr>
            <w:tcW w:w="1134" w:type="dxa"/>
            <w:tcBorders>
              <w:bottom w:val="single" w:sz="4" w:space="0" w:color="auto"/>
            </w:tcBorders>
            <w:noWrap/>
            <w:vAlign w:val="center"/>
          </w:tcPr>
          <w:p w14:paraId="2DFD3A25"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160.520</w:t>
            </w:r>
          </w:p>
        </w:tc>
        <w:tc>
          <w:tcPr>
            <w:tcW w:w="1843" w:type="dxa"/>
            <w:tcBorders>
              <w:bottom w:val="single" w:sz="4" w:space="0" w:color="auto"/>
            </w:tcBorders>
            <w:vAlign w:val="center"/>
          </w:tcPr>
          <w:p w14:paraId="66AC5BDB"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581.024.228</w:t>
            </w:r>
          </w:p>
        </w:tc>
        <w:tc>
          <w:tcPr>
            <w:tcW w:w="283" w:type="dxa"/>
            <w:tcBorders>
              <w:bottom w:val="single" w:sz="4" w:space="0" w:color="auto"/>
            </w:tcBorders>
            <w:vAlign w:val="center"/>
          </w:tcPr>
          <w:p w14:paraId="7D4CC628"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tcBorders>
              <w:bottom w:val="single" w:sz="4" w:space="0" w:color="auto"/>
            </w:tcBorders>
            <w:shd w:val="clear" w:color="auto" w:fill="auto"/>
            <w:vAlign w:val="center"/>
          </w:tcPr>
          <w:p w14:paraId="055AF86D"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123.877</w:t>
            </w:r>
          </w:p>
        </w:tc>
        <w:tc>
          <w:tcPr>
            <w:tcW w:w="1559" w:type="dxa"/>
            <w:tcBorders>
              <w:bottom w:val="single" w:sz="4" w:space="0" w:color="auto"/>
            </w:tcBorders>
            <w:shd w:val="clear" w:color="auto" w:fill="auto"/>
            <w:noWrap/>
            <w:vAlign w:val="center"/>
          </w:tcPr>
          <w:p w14:paraId="0DF925DF"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566.244.926</w:t>
            </w:r>
          </w:p>
        </w:tc>
      </w:tr>
      <w:tr w:rsidR="00D47A7E" w:rsidRPr="009663FC" w14:paraId="4F750C6F" w14:textId="77777777" w:rsidTr="003F4366">
        <w:trPr>
          <w:trHeight w:val="269"/>
          <w:jc w:val="center"/>
        </w:trPr>
        <w:tc>
          <w:tcPr>
            <w:tcW w:w="1844" w:type="dxa"/>
            <w:tcBorders>
              <w:top w:val="single" w:sz="4" w:space="0" w:color="auto"/>
            </w:tcBorders>
            <w:vAlign w:val="center"/>
            <w:hideMark/>
          </w:tcPr>
          <w:p w14:paraId="59A204CB" w14:textId="77777777" w:rsidR="00D47A7E" w:rsidRPr="00E93EEB" w:rsidRDefault="00D47A7E" w:rsidP="003F4366">
            <w:pPr>
              <w:spacing w:after="0" w:line="276" w:lineRule="auto"/>
              <w:ind w:firstLine="176"/>
              <w:rPr>
                <w:rFonts w:ascii="Calibri" w:eastAsia="Times New Roman" w:hAnsi="Calibri" w:cs="Times New Roman"/>
                <w:color w:val="595959" w:themeColor="text1" w:themeTint="A6"/>
                <w:sz w:val="18"/>
                <w:szCs w:val="18"/>
                <w:lang w:eastAsia="el-GR"/>
              </w:rPr>
            </w:pPr>
            <w:r>
              <w:rPr>
                <w:rFonts w:ascii="Calibri" w:eastAsia="Times New Roman" w:hAnsi="Calibri" w:cs="Times New Roman"/>
                <w:color w:val="595959" w:themeColor="text1" w:themeTint="A6"/>
                <w:sz w:val="18"/>
                <w:szCs w:val="18"/>
                <w:lang w:eastAsia="el-GR"/>
              </w:rPr>
              <w:t xml:space="preserve"> </w:t>
            </w:r>
            <w:r w:rsidRPr="00E93EEB">
              <w:rPr>
                <w:rFonts w:ascii="Calibri" w:eastAsia="Times New Roman" w:hAnsi="Calibri" w:cs="Times New Roman"/>
                <w:color w:val="595959" w:themeColor="text1" w:themeTint="A6"/>
                <w:sz w:val="18"/>
                <w:szCs w:val="18"/>
                <w:lang w:eastAsia="el-GR"/>
              </w:rPr>
              <w:t>1</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2020</w:t>
            </w:r>
          </w:p>
        </w:tc>
        <w:tc>
          <w:tcPr>
            <w:tcW w:w="1134" w:type="dxa"/>
            <w:tcBorders>
              <w:top w:val="single" w:sz="4" w:space="0" w:color="auto"/>
            </w:tcBorders>
            <w:noWrap/>
            <w:vAlign w:val="center"/>
          </w:tcPr>
          <w:p w14:paraId="379EC5F3"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166.310</w:t>
            </w:r>
          </w:p>
        </w:tc>
        <w:tc>
          <w:tcPr>
            <w:tcW w:w="1843" w:type="dxa"/>
            <w:tcBorders>
              <w:top w:val="single" w:sz="4" w:space="0" w:color="auto"/>
            </w:tcBorders>
            <w:vAlign w:val="center"/>
          </w:tcPr>
          <w:p w14:paraId="611CCBD3"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623.290.457</w:t>
            </w:r>
          </w:p>
        </w:tc>
        <w:tc>
          <w:tcPr>
            <w:tcW w:w="283" w:type="dxa"/>
            <w:tcBorders>
              <w:top w:val="single" w:sz="4" w:space="0" w:color="auto"/>
            </w:tcBorders>
            <w:vAlign w:val="center"/>
          </w:tcPr>
          <w:p w14:paraId="28C4419C"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tcBorders>
              <w:top w:val="single" w:sz="4" w:space="0" w:color="auto"/>
            </w:tcBorders>
            <w:shd w:val="clear" w:color="auto" w:fill="auto"/>
            <w:vAlign w:val="center"/>
          </w:tcPr>
          <w:p w14:paraId="0C15BCFD"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133.008</w:t>
            </w:r>
          </w:p>
        </w:tc>
        <w:tc>
          <w:tcPr>
            <w:tcW w:w="1559" w:type="dxa"/>
            <w:tcBorders>
              <w:top w:val="single" w:sz="4" w:space="0" w:color="auto"/>
            </w:tcBorders>
            <w:shd w:val="clear" w:color="auto" w:fill="auto"/>
            <w:noWrap/>
            <w:vAlign w:val="center"/>
          </w:tcPr>
          <w:p w14:paraId="38FFFC0B"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610.115.770</w:t>
            </w:r>
          </w:p>
        </w:tc>
      </w:tr>
      <w:tr w:rsidR="00D47A7E" w:rsidRPr="009663FC" w14:paraId="06AE9759" w14:textId="77777777" w:rsidTr="003F4366">
        <w:trPr>
          <w:trHeight w:val="480"/>
          <w:jc w:val="center"/>
        </w:trPr>
        <w:tc>
          <w:tcPr>
            <w:tcW w:w="1844" w:type="dxa"/>
            <w:vAlign w:val="center"/>
            <w:hideMark/>
          </w:tcPr>
          <w:p w14:paraId="586AE161"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2</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2020</w:t>
            </w:r>
          </w:p>
        </w:tc>
        <w:tc>
          <w:tcPr>
            <w:tcW w:w="1134" w:type="dxa"/>
            <w:noWrap/>
            <w:vAlign w:val="center"/>
          </w:tcPr>
          <w:p w14:paraId="17552506"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170.118</w:t>
            </w:r>
          </w:p>
        </w:tc>
        <w:tc>
          <w:tcPr>
            <w:tcW w:w="1843" w:type="dxa"/>
            <w:vAlign w:val="center"/>
          </w:tcPr>
          <w:p w14:paraId="387A2867"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678.496.353</w:t>
            </w:r>
          </w:p>
        </w:tc>
        <w:tc>
          <w:tcPr>
            <w:tcW w:w="283" w:type="dxa"/>
            <w:vAlign w:val="center"/>
          </w:tcPr>
          <w:p w14:paraId="416CCD5C"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shd w:val="clear" w:color="auto" w:fill="auto"/>
            <w:vAlign w:val="center"/>
          </w:tcPr>
          <w:p w14:paraId="060F2961"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142.536</w:t>
            </w:r>
          </w:p>
        </w:tc>
        <w:tc>
          <w:tcPr>
            <w:tcW w:w="1559" w:type="dxa"/>
            <w:shd w:val="clear" w:color="auto" w:fill="auto"/>
            <w:noWrap/>
            <w:vAlign w:val="center"/>
          </w:tcPr>
          <w:p w14:paraId="0EB31162"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671.012.447</w:t>
            </w:r>
          </w:p>
        </w:tc>
      </w:tr>
      <w:tr w:rsidR="00D47A7E" w:rsidRPr="009663FC" w14:paraId="00EA5F54" w14:textId="77777777" w:rsidTr="003F4366">
        <w:trPr>
          <w:trHeight w:val="300"/>
          <w:jc w:val="center"/>
        </w:trPr>
        <w:tc>
          <w:tcPr>
            <w:tcW w:w="1844" w:type="dxa"/>
            <w:vAlign w:val="center"/>
            <w:hideMark/>
          </w:tcPr>
          <w:p w14:paraId="72F0F464"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3</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2020</w:t>
            </w:r>
          </w:p>
        </w:tc>
        <w:tc>
          <w:tcPr>
            <w:tcW w:w="1134" w:type="dxa"/>
            <w:noWrap/>
            <w:vAlign w:val="center"/>
          </w:tcPr>
          <w:p w14:paraId="20DC8FF9"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172.318</w:t>
            </w:r>
          </w:p>
        </w:tc>
        <w:tc>
          <w:tcPr>
            <w:tcW w:w="1843" w:type="dxa"/>
            <w:vAlign w:val="center"/>
          </w:tcPr>
          <w:p w14:paraId="488C0FCF"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666.081.716</w:t>
            </w:r>
          </w:p>
        </w:tc>
        <w:tc>
          <w:tcPr>
            <w:tcW w:w="283" w:type="dxa"/>
            <w:vAlign w:val="center"/>
          </w:tcPr>
          <w:p w14:paraId="4047558F"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shd w:val="clear" w:color="auto" w:fill="auto"/>
            <w:vAlign w:val="center"/>
          </w:tcPr>
          <w:p w14:paraId="0BAA353B"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138.851</w:t>
            </w:r>
          </w:p>
        </w:tc>
        <w:tc>
          <w:tcPr>
            <w:tcW w:w="1559" w:type="dxa"/>
            <w:shd w:val="clear" w:color="auto" w:fill="auto"/>
            <w:noWrap/>
            <w:vAlign w:val="center"/>
          </w:tcPr>
          <w:p w14:paraId="1BC8C997"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653.506.747</w:t>
            </w:r>
          </w:p>
        </w:tc>
      </w:tr>
      <w:tr w:rsidR="00D47A7E" w:rsidRPr="009663FC" w14:paraId="71417DAE" w14:textId="77777777" w:rsidTr="003F4366">
        <w:trPr>
          <w:trHeight w:val="300"/>
          <w:jc w:val="center"/>
        </w:trPr>
        <w:tc>
          <w:tcPr>
            <w:tcW w:w="1844" w:type="dxa"/>
            <w:tcBorders>
              <w:bottom w:val="single" w:sz="4" w:space="0" w:color="auto"/>
            </w:tcBorders>
            <w:vAlign w:val="center"/>
          </w:tcPr>
          <w:p w14:paraId="3A57D935"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2020</w:t>
            </w:r>
          </w:p>
        </w:tc>
        <w:tc>
          <w:tcPr>
            <w:tcW w:w="1134" w:type="dxa"/>
            <w:tcBorders>
              <w:bottom w:val="single" w:sz="4" w:space="0" w:color="auto"/>
            </w:tcBorders>
            <w:noWrap/>
            <w:vAlign w:val="center"/>
          </w:tcPr>
          <w:p w14:paraId="573488DE"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152.949</w:t>
            </w:r>
          </w:p>
        </w:tc>
        <w:tc>
          <w:tcPr>
            <w:tcW w:w="1843" w:type="dxa"/>
            <w:tcBorders>
              <w:bottom w:val="single" w:sz="4" w:space="0" w:color="auto"/>
            </w:tcBorders>
            <w:vAlign w:val="center"/>
          </w:tcPr>
          <w:p w14:paraId="15737DF3"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583.894.949</w:t>
            </w:r>
          </w:p>
        </w:tc>
        <w:tc>
          <w:tcPr>
            <w:tcW w:w="283" w:type="dxa"/>
            <w:tcBorders>
              <w:bottom w:val="single" w:sz="4" w:space="0" w:color="auto"/>
            </w:tcBorders>
            <w:vAlign w:val="center"/>
          </w:tcPr>
          <w:p w14:paraId="0AB389D4"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tcBorders>
              <w:bottom w:val="single" w:sz="4" w:space="0" w:color="auto"/>
            </w:tcBorders>
            <w:shd w:val="clear" w:color="auto" w:fill="auto"/>
            <w:vAlign w:val="center"/>
          </w:tcPr>
          <w:p w14:paraId="24BB467C"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121.863</w:t>
            </w:r>
          </w:p>
        </w:tc>
        <w:tc>
          <w:tcPr>
            <w:tcW w:w="1559" w:type="dxa"/>
            <w:tcBorders>
              <w:bottom w:val="single" w:sz="4" w:space="0" w:color="auto"/>
            </w:tcBorders>
            <w:shd w:val="clear" w:color="auto" w:fill="auto"/>
            <w:noWrap/>
            <w:vAlign w:val="center"/>
          </w:tcPr>
          <w:p w14:paraId="3F8BCCED"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564.863.554</w:t>
            </w:r>
          </w:p>
        </w:tc>
      </w:tr>
      <w:tr w:rsidR="00D47A7E" w:rsidRPr="009663FC" w14:paraId="70A3BB7C" w14:textId="77777777" w:rsidTr="003F4366">
        <w:trPr>
          <w:trHeight w:val="269"/>
          <w:jc w:val="center"/>
        </w:trPr>
        <w:tc>
          <w:tcPr>
            <w:tcW w:w="1844" w:type="dxa"/>
            <w:tcBorders>
              <w:top w:val="single" w:sz="4" w:space="0" w:color="auto"/>
            </w:tcBorders>
            <w:vAlign w:val="center"/>
            <w:hideMark/>
          </w:tcPr>
          <w:p w14:paraId="787F7764"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2021</w:t>
            </w:r>
          </w:p>
        </w:tc>
        <w:tc>
          <w:tcPr>
            <w:tcW w:w="1134" w:type="dxa"/>
            <w:tcBorders>
              <w:top w:val="single" w:sz="4" w:space="0" w:color="auto"/>
            </w:tcBorders>
            <w:noWrap/>
            <w:vAlign w:val="center"/>
          </w:tcPr>
          <w:p w14:paraId="4D1428D8"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142.134</w:t>
            </w:r>
          </w:p>
        </w:tc>
        <w:tc>
          <w:tcPr>
            <w:tcW w:w="1843" w:type="dxa"/>
            <w:tcBorders>
              <w:top w:val="single" w:sz="4" w:space="0" w:color="auto"/>
            </w:tcBorders>
            <w:vAlign w:val="center"/>
          </w:tcPr>
          <w:p w14:paraId="196FC781"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528.466.145</w:t>
            </w:r>
          </w:p>
        </w:tc>
        <w:tc>
          <w:tcPr>
            <w:tcW w:w="283" w:type="dxa"/>
            <w:tcBorders>
              <w:top w:val="single" w:sz="4" w:space="0" w:color="auto"/>
            </w:tcBorders>
            <w:vAlign w:val="center"/>
          </w:tcPr>
          <w:p w14:paraId="70455BF4"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tcBorders>
              <w:top w:val="single" w:sz="4" w:space="0" w:color="auto"/>
            </w:tcBorders>
            <w:shd w:val="clear" w:color="auto" w:fill="auto"/>
            <w:vAlign w:val="center"/>
          </w:tcPr>
          <w:p w14:paraId="2FE59368"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108.893</w:t>
            </w:r>
          </w:p>
        </w:tc>
        <w:tc>
          <w:tcPr>
            <w:tcW w:w="1559" w:type="dxa"/>
            <w:tcBorders>
              <w:top w:val="single" w:sz="4" w:space="0" w:color="auto"/>
            </w:tcBorders>
            <w:shd w:val="clear" w:color="auto" w:fill="auto"/>
            <w:noWrap/>
            <w:vAlign w:val="center"/>
          </w:tcPr>
          <w:p w14:paraId="1554C8B0"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509.743.222</w:t>
            </w:r>
          </w:p>
        </w:tc>
      </w:tr>
      <w:tr w:rsidR="00D47A7E" w:rsidRPr="009663FC" w14:paraId="67489327" w14:textId="77777777" w:rsidTr="003F4366">
        <w:trPr>
          <w:trHeight w:val="480"/>
          <w:jc w:val="center"/>
        </w:trPr>
        <w:tc>
          <w:tcPr>
            <w:tcW w:w="1844" w:type="dxa"/>
            <w:vAlign w:val="center"/>
            <w:hideMark/>
          </w:tcPr>
          <w:p w14:paraId="545C830D"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2</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2021</w:t>
            </w:r>
          </w:p>
        </w:tc>
        <w:tc>
          <w:tcPr>
            <w:tcW w:w="1134" w:type="dxa"/>
            <w:noWrap/>
            <w:vAlign w:val="center"/>
          </w:tcPr>
          <w:p w14:paraId="7C1C5F10"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125.504</w:t>
            </w:r>
          </w:p>
        </w:tc>
        <w:tc>
          <w:tcPr>
            <w:tcW w:w="1843" w:type="dxa"/>
            <w:vAlign w:val="center"/>
          </w:tcPr>
          <w:p w14:paraId="6777E4BE"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427.904.312*</w:t>
            </w:r>
          </w:p>
        </w:tc>
        <w:tc>
          <w:tcPr>
            <w:tcW w:w="283" w:type="dxa"/>
            <w:vAlign w:val="center"/>
          </w:tcPr>
          <w:p w14:paraId="7D8F37A5"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shd w:val="clear" w:color="auto" w:fill="auto"/>
            <w:vAlign w:val="center"/>
          </w:tcPr>
          <w:p w14:paraId="7A56A0FC"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98.695</w:t>
            </w:r>
          </w:p>
        </w:tc>
        <w:tc>
          <w:tcPr>
            <w:tcW w:w="1559" w:type="dxa"/>
            <w:shd w:val="clear" w:color="auto" w:fill="auto"/>
            <w:noWrap/>
            <w:vAlign w:val="center"/>
          </w:tcPr>
          <w:p w14:paraId="686AE10D"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410.373.565</w:t>
            </w:r>
            <w:r>
              <w:rPr>
                <w:rFonts w:ascii="Calibri" w:eastAsia="Times New Roman" w:hAnsi="Calibri" w:cs="Times New Roman"/>
                <w:color w:val="595959" w:themeColor="text1" w:themeTint="A6"/>
                <w:sz w:val="18"/>
                <w:szCs w:val="18"/>
                <w:lang w:eastAsia="el-GR"/>
              </w:rPr>
              <w:t>*</w:t>
            </w:r>
          </w:p>
        </w:tc>
      </w:tr>
      <w:tr w:rsidR="00D47A7E" w:rsidRPr="009663FC" w14:paraId="15331C1F" w14:textId="77777777" w:rsidTr="003F4366">
        <w:trPr>
          <w:trHeight w:val="300"/>
          <w:jc w:val="center"/>
        </w:trPr>
        <w:tc>
          <w:tcPr>
            <w:tcW w:w="1844" w:type="dxa"/>
            <w:vAlign w:val="center"/>
            <w:hideMark/>
          </w:tcPr>
          <w:p w14:paraId="66421A6E"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lastRenderedPageBreak/>
              <w:t>3</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2021</w:t>
            </w:r>
          </w:p>
        </w:tc>
        <w:tc>
          <w:tcPr>
            <w:tcW w:w="1134" w:type="dxa"/>
            <w:noWrap/>
            <w:vAlign w:val="center"/>
          </w:tcPr>
          <w:p w14:paraId="10FCD0F2"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125.373</w:t>
            </w:r>
          </w:p>
        </w:tc>
        <w:tc>
          <w:tcPr>
            <w:tcW w:w="1843" w:type="dxa"/>
            <w:vAlign w:val="center"/>
          </w:tcPr>
          <w:p w14:paraId="4DE8855E"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420.416.363</w:t>
            </w:r>
          </w:p>
        </w:tc>
        <w:tc>
          <w:tcPr>
            <w:tcW w:w="283" w:type="dxa"/>
            <w:vAlign w:val="center"/>
          </w:tcPr>
          <w:p w14:paraId="6C513C7D"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shd w:val="clear" w:color="auto" w:fill="auto"/>
            <w:vAlign w:val="center"/>
          </w:tcPr>
          <w:p w14:paraId="038A8358"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99.404</w:t>
            </w:r>
          </w:p>
        </w:tc>
        <w:tc>
          <w:tcPr>
            <w:tcW w:w="1559" w:type="dxa"/>
            <w:shd w:val="clear" w:color="auto" w:fill="auto"/>
            <w:noWrap/>
            <w:vAlign w:val="center"/>
          </w:tcPr>
          <w:p w14:paraId="73DD8B3A"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407.816.990</w:t>
            </w:r>
          </w:p>
        </w:tc>
      </w:tr>
      <w:tr w:rsidR="00D47A7E" w:rsidRPr="009663FC" w14:paraId="52B98924" w14:textId="77777777" w:rsidTr="003F4366">
        <w:trPr>
          <w:trHeight w:val="517"/>
          <w:jc w:val="center"/>
        </w:trPr>
        <w:tc>
          <w:tcPr>
            <w:tcW w:w="1844" w:type="dxa"/>
            <w:tcBorders>
              <w:bottom w:val="single" w:sz="4" w:space="0" w:color="auto"/>
            </w:tcBorders>
            <w:vAlign w:val="center"/>
            <w:hideMark/>
          </w:tcPr>
          <w:p w14:paraId="64CA820A"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4</w:t>
            </w:r>
            <w:r w:rsidRPr="00E93EEB">
              <w:rPr>
                <w:rFonts w:ascii="Calibri" w:eastAsia="Times New Roman" w:hAnsi="Calibri" w:cs="Times New Roman"/>
                <w:color w:val="595959" w:themeColor="text1" w:themeTint="A6"/>
                <w:sz w:val="18"/>
                <w:szCs w:val="18"/>
                <w:vertAlign w:val="superscript"/>
                <w:lang w:eastAsia="el-GR"/>
              </w:rPr>
              <w:t>ο</w:t>
            </w:r>
            <w:r w:rsidRPr="00E93EEB">
              <w:rPr>
                <w:rFonts w:ascii="Calibri" w:eastAsia="Times New Roman" w:hAnsi="Calibri" w:cs="Times New Roman"/>
                <w:color w:val="595959" w:themeColor="text1" w:themeTint="A6"/>
                <w:sz w:val="18"/>
                <w:szCs w:val="18"/>
                <w:lang w:eastAsia="el-GR"/>
              </w:rPr>
              <w:t xml:space="preserve"> Τρίμηνο 2021</w:t>
            </w:r>
          </w:p>
        </w:tc>
        <w:tc>
          <w:tcPr>
            <w:tcW w:w="1134" w:type="dxa"/>
            <w:tcBorders>
              <w:bottom w:val="single" w:sz="4" w:space="0" w:color="auto"/>
            </w:tcBorders>
            <w:noWrap/>
            <w:vAlign w:val="center"/>
          </w:tcPr>
          <w:p w14:paraId="47EB9CFD"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118.269</w:t>
            </w:r>
          </w:p>
        </w:tc>
        <w:tc>
          <w:tcPr>
            <w:tcW w:w="1843" w:type="dxa"/>
            <w:tcBorders>
              <w:bottom w:val="single" w:sz="4" w:space="0" w:color="auto"/>
            </w:tcBorders>
            <w:vAlign w:val="center"/>
          </w:tcPr>
          <w:p w14:paraId="34F26A35"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300.668.771</w:t>
            </w:r>
          </w:p>
        </w:tc>
        <w:tc>
          <w:tcPr>
            <w:tcW w:w="283" w:type="dxa"/>
            <w:tcBorders>
              <w:bottom w:val="single" w:sz="4" w:space="0" w:color="auto"/>
            </w:tcBorders>
            <w:vAlign w:val="center"/>
          </w:tcPr>
          <w:p w14:paraId="52E133FE"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p>
        </w:tc>
        <w:tc>
          <w:tcPr>
            <w:tcW w:w="1276" w:type="dxa"/>
            <w:tcBorders>
              <w:bottom w:val="single" w:sz="4" w:space="0" w:color="auto"/>
            </w:tcBorders>
            <w:shd w:val="clear" w:color="auto" w:fill="auto"/>
            <w:vAlign w:val="center"/>
          </w:tcPr>
          <w:p w14:paraId="24946EB7"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86.328</w:t>
            </w:r>
          </w:p>
        </w:tc>
        <w:tc>
          <w:tcPr>
            <w:tcW w:w="1559" w:type="dxa"/>
            <w:tcBorders>
              <w:bottom w:val="single" w:sz="4" w:space="0" w:color="auto"/>
            </w:tcBorders>
            <w:shd w:val="clear" w:color="auto" w:fill="auto"/>
            <w:noWrap/>
            <w:vAlign w:val="center"/>
          </w:tcPr>
          <w:p w14:paraId="6D683B58" w14:textId="77777777" w:rsidR="00D47A7E" w:rsidRPr="00E93EEB" w:rsidRDefault="00D47A7E" w:rsidP="003F4366">
            <w:pPr>
              <w:spacing w:after="0" w:line="276" w:lineRule="auto"/>
              <w:jc w:val="center"/>
              <w:rPr>
                <w:rFonts w:ascii="Calibri" w:eastAsia="Times New Roman" w:hAnsi="Calibri" w:cs="Times New Roman"/>
                <w:color w:val="595959" w:themeColor="text1" w:themeTint="A6"/>
                <w:sz w:val="18"/>
                <w:szCs w:val="18"/>
                <w:lang w:eastAsia="el-GR"/>
              </w:rPr>
            </w:pPr>
            <w:r w:rsidRPr="00E93EEB">
              <w:rPr>
                <w:rFonts w:ascii="Calibri" w:eastAsia="Times New Roman" w:hAnsi="Calibri" w:cs="Times New Roman"/>
                <w:color w:val="595959" w:themeColor="text1" w:themeTint="A6"/>
                <w:sz w:val="18"/>
                <w:szCs w:val="18"/>
                <w:lang w:eastAsia="el-GR"/>
              </w:rPr>
              <w:t>286.114.129</w:t>
            </w:r>
          </w:p>
        </w:tc>
      </w:tr>
      <w:tr w:rsidR="00D47A7E" w:rsidRPr="009663FC" w14:paraId="5AFEEF56" w14:textId="77777777" w:rsidTr="003F4366">
        <w:trPr>
          <w:trHeight w:val="192"/>
          <w:jc w:val="center"/>
        </w:trPr>
        <w:tc>
          <w:tcPr>
            <w:tcW w:w="7939" w:type="dxa"/>
            <w:gridSpan w:val="6"/>
            <w:tcBorders>
              <w:top w:val="single" w:sz="4" w:space="0" w:color="auto"/>
              <w:left w:val="nil"/>
              <w:right w:val="nil"/>
            </w:tcBorders>
          </w:tcPr>
          <w:p w14:paraId="32CF12C1" w14:textId="77777777" w:rsidR="00D47A7E" w:rsidRPr="008D195D" w:rsidRDefault="00D47A7E" w:rsidP="003F4366">
            <w:pPr>
              <w:spacing w:after="0" w:line="240" w:lineRule="auto"/>
              <w:ind w:left="162" w:hanging="174"/>
              <w:jc w:val="both"/>
              <w:rPr>
                <w:rFonts w:eastAsia="Times New Roman" w:cstheme="majorHAnsi"/>
                <w:bCs/>
                <w:color w:val="595959" w:themeColor="text1" w:themeTint="A6"/>
                <w:sz w:val="16"/>
                <w:szCs w:val="16"/>
                <w:lang w:eastAsia="el-GR"/>
              </w:rPr>
            </w:pPr>
            <w:r w:rsidRPr="008D195D">
              <w:rPr>
                <w:rFonts w:eastAsia="Times New Roman" w:cstheme="majorHAnsi"/>
                <w:bCs/>
                <w:color w:val="595959" w:themeColor="text1" w:themeTint="A6"/>
                <w:sz w:val="16"/>
                <w:szCs w:val="16"/>
                <w:lang w:eastAsia="el-GR"/>
              </w:rPr>
              <w:t>* Η μείωση της εκτιμώμενης δαπάνης για την πληρωμή των εκκρεμών και ληξιπρόθεσμων αιτήσεων συνταξιοδότησης κατά</w:t>
            </w:r>
            <w:r>
              <w:rPr>
                <w:rFonts w:eastAsia="Times New Roman" w:cstheme="majorHAnsi"/>
                <w:bCs/>
                <w:color w:val="595959" w:themeColor="text1" w:themeTint="A6"/>
                <w:sz w:val="16"/>
                <w:szCs w:val="16"/>
                <w:lang w:eastAsia="el-GR"/>
              </w:rPr>
              <w:t xml:space="preserve"> </w:t>
            </w:r>
            <w:r w:rsidRPr="008D195D">
              <w:rPr>
                <w:rFonts w:eastAsia="Times New Roman" w:cstheme="majorHAnsi"/>
                <w:bCs/>
                <w:color w:val="595959" w:themeColor="text1" w:themeTint="A6"/>
                <w:sz w:val="16"/>
                <w:szCs w:val="16"/>
                <w:lang w:eastAsia="el-GR"/>
              </w:rPr>
              <w:t>το 2</w:t>
            </w:r>
            <w:r w:rsidRPr="008D195D">
              <w:rPr>
                <w:rFonts w:eastAsia="Times New Roman" w:cstheme="majorHAnsi"/>
                <w:bCs/>
                <w:color w:val="595959" w:themeColor="text1" w:themeTint="A6"/>
                <w:sz w:val="16"/>
                <w:szCs w:val="16"/>
                <w:vertAlign w:val="superscript"/>
                <w:lang w:eastAsia="el-GR"/>
              </w:rPr>
              <w:t>ο</w:t>
            </w:r>
            <w:r w:rsidRPr="008D195D">
              <w:rPr>
                <w:rFonts w:eastAsia="Times New Roman" w:cstheme="majorHAnsi"/>
                <w:bCs/>
                <w:color w:val="595959" w:themeColor="text1" w:themeTint="A6"/>
                <w:sz w:val="16"/>
                <w:szCs w:val="16"/>
                <w:lang w:eastAsia="el-GR"/>
              </w:rPr>
              <w:t xml:space="preserve"> τρίμηνο 2021 οφείλεται στην απόδοση προκαταβολών σύνταξης σε αιτούντες-δικαιούχους σύνταξης  τον Απρίλιο 2021.</w:t>
            </w:r>
          </w:p>
          <w:p w14:paraId="4D0F4670" w14:textId="77777777" w:rsidR="00D47A7E" w:rsidRPr="008D195D" w:rsidRDefault="00D47A7E" w:rsidP="003F4366">
            <w:pPr>
              <w:spacing w:after="0" w:line="240" w:lineRule="auto"/>
              <w:ind w:left="567" w:hanging="567"/>
              <w:jc w:val="both"/>
              <w:rPr>
                <w:rFonts w:eastAsia="Times New Roman" w:cstheme="majorHAnsi"/>
                <w:bCs/>
                <w:color w:val="595959" w:themeColor="text1" w:themeTint="A6"/>
                <w:sz w:val="4"/>
                <w:szCs w:val="4"/>
                <w:lang w:eastAsia="el-GR"/>
              </w:rPr>
            </w:pPr>
          </w:p>
          <w:p w14:paraId="5E0E05BC" w14:textId="77777777" w:rsidR="00D47A7E" w:rsidRPr="009663FC" w:rsidRDefault="00D47A7E" w:rsidP="003F4366">
            <w:pPr>
              <w:spacing w:after="0" w:line="276" w:lineRule="auto"/>
              <w:ind w:hanging="108"/>
              <w:rPr>
                <w:rFonts w:ascii="Calibri" w:eastAsia="Times New Roman" w:hAnsi="Calibri" w:cs="Times New Roman"/>
                <w:bCs/>
                <w:color w:val="FF0000"/>
                <w:sz w:val="16"/>
                <w:szCs w:val="16"/>
                <w:lang w:eastAsia="el-GR"/>
              </w:rPr>
            </w:pPr>
            <w:r w:rsidRPr="008D195D">
              <w:rPr>
                <w:rFonts w:eastAsia="Times New Roman" w:cstheme="majorHAnsi"/>
                <w:bCs/>
                <w:color w:val="595959" w:themeColor="text1" w:themeTint="A6"/>
                <w:sz w:val="16"/>
                <w:szCs w:val="16"/>
                <w:lang w:eastAsia="el-GR"/>
              </w:rPr>
              <w:t xml:space="preserve">Πηγή: </w:t>
            </w:r>
            <w:r w:rsidRPr="008D195D">
              <w:rPr>
                <w:rFonts w:eastAsia="Times New Roman" w:cstheme="majorHAnsi"/>
                <w:bCs/>
                <w:color w:val="595959" w:themeColor="text1" w:themeTint="A6"/>
                <w:sz w:val="16"/>
                <w:szCs w:val="16"/>
                <w:lang w:val="en-US" w:eastAsia="el-GR"/>
              </w:rPr>
              <w:t>e</w:t>
            </w:r>
            <w:r w:rsidRPr="008D195D">
              <w:rPr>
                <w:rFonts w:eastAsia="Times New Roman" w:cstheme="majorHAnsi"/>
                <w:bCs/>
                <w:color w:val="595959" w:themeColor="text1" w:themeTint="A6"/>
                <w:sz w:val="16"/>
                <w:szCs w:val="16"/>
                <w:lang w:eastAsia="el-GR"/>
              </w:rPr>
              <w:t xml:space="preserve">-ΕΦΚΑ και </w:t>
            </w:r>
            <w:hyperlink r:id="rId69" w:history="1">
              <w:r w:rsidRPr="008D195D">
                <w:rPr>
                  <w:rFonts w:cstheme="majorHAnsi"/>
                  <w:color w:val="595959" w:themeColor="text1" w:themeTint="A6"/>
                  <w:sz w:val="16"/>
                  <w:szCs w:val="16"/>
                  <w:u w:val="single"/>
                </w:rPr>
                <w:t xml:space="preserve">“ΑΤΛΑΣ” </w:t>
              </w:r>
              <w:r>
                <w:rPr>
                  <w:rFonts w:cstheme="majorHAnsi"/>
                  <w:color w:val="595959" w:themeColor="text1" w:themeTint="A6"/>
                  <w:sz w:val="16"/>
                  <w:szCs w:val="16"/>
                  <w:u w:val="single"/>
                </w:rPr>
                <w:t>Νοεμβρ</w:t>
              </w:r>
              <w:r w:rsidRPr="008D195D">
                <w:rPr>
                  <w:rFonts w:cstheme="majorHAnsi"/>
                  <w:color w:val="595959" w:themeColor="text1" w:themeTint="A6"/>
                  <w:sz w:val="16"/>
                  <w:szCs w:val="16"/>
                  <w:u w:val="single"/>
                </w:rPr>
                <w:t>ίου 2021</w:t>
              </w:r>
            </w:hyperlink>
          </w:p>
        </w:tc>
      </w:tr>
    </w:tbl>
    <w:p w14:paraId="0130A19E" w14:textId="77777777" w:rsidR="00D47A7E" w:rsidRDefault="00D47A7E" w:rsidP="00D47A7E">
      <w:pPr>
        <w:spacing w:after="0" w:line="276" w:lineRule="auto"/>
        <w:jc w:val="both"/>
        <w:rPr>
          <w:rFonts w:ascii="Calibri" w:eastAsia="Calibri" w:hAnsi="Calibri" w:cs="Times New Roman"/>
          <w:color w:val="595959" w:themeColor="text1" w:themeTint="A6"/>
        </w:rPr>
      </w:pPr>
    </w:p>
    <w:p w14:paraId="41B4E90A" w14:textId="77777777" w:rsidR="00D47A7E" w:rsidRDefault="00D47A7E" w:rsidP="00D47A7E">
      <w:pPr>
        <w:spacing w:after="0" w:line="276" w:lineRule="auto"/>
        <w:jc w:val="both"/>
        <w:rPr>
          <w:rFonts w:ascii="Calibri" w:eastAsia="Calibri" w:hAnsi="Calibri" w:cs="Times New Roman"/>
          <w:color w:val="595959" w:themeColor="text1" w:themeTint="A6"/>
        </w:rPr>
      </w:pPr>
      <w:r w:rsidRPr="008D195D">
        <w:rPr>
          <w:rFonts w:ascii="Calibri" w:eastAsia="Calibri" w:hAnsi="Calibri" w:cs="Times New Roman"/>
          <w:color w:val="595959" w:themeColor="text1" w:themeTint="A6"/>
        </w:rPr>
        <w:t xml:space="preserve">Στον κλάδο επικουρικής σύνταξης, ο συνολικός αριθμός εκκρεμών αιτήσεων συνταξιοδότησης εμφανίζεται </w:t>
      </w:r>
      <w:r>
        <w:rPr>
          <w:rFonts w:ascii="Calibri" w:eastAsia="Calibri" w:hAnsi="Calibri" w:cs="Times New Roman"/>
          <w:color w:val="595959" w:themeColor="text1" w:themeTint="A6"/>
        </w:rPr>
        <w:t xml:space="preserve">ελαφρώς </w:t>
      </w:r>
      <w:r w:rsidRPr="008D195D">
        <w:rPr>
          <w:rFonts w:ascii="Calibri" w:eastAsia="Calibri" w:hAnsi="Calibri" w:cs="Times New Roman"/>
          <w:color w:val="595959" w:themeColor="text1" w:themeTint="A6"/>
        </w:rPr>
        <w:t xml:space="preserve">μειωμένος στο τέλος </w:t>
      </w:r>
      <w:r>
        <w:rPr>
          <w:rFonts w:ascii="Calibri" w:eastAsia="Calibri" w:hAnsi="Calibri" w:cs="Times New Roman"/>
          <w:color w:val="595959" w:themeColor="text1" w:themeTint="A6"/>
        </w:rPr>
        <w:t>Δεκ</w:t>
      </w:r>
      <w:r w:rsidRPr="008D195D">
        <w:rPr>
          <w:rFonts w:ascii="Calibri" w:eastAsia="Calibri" w:hAnsi="Calibri" w:cs="Times New Roman"/>
          <w:color w:val="595959" w:themeColor="text1" w:themeTint="A6"/>
        </w:rPr>
        <w:t xml:space="preserve">εμβρίου σε σχέση με τον </w:t>
      </w:r>
      <w:r>
        <w:rPr>
          <w:rFonts w:ascii="Calibri" w:eastAsia="Calibri" w:hAnsi="Calibri" w:cs="Times New Roman"/>
          <w:color w:val="595959" w:themeColor="text1" w:themeTint="A6"/>
        </w:rPr>
        <w:t>Σεπτέμβρ</w:t>
      </w:r>
      <w:r w:rsidRPr="008D195D">
        <w:rPr>
          <w:rFonts w:ascii="Calibri" w:eastAsia="Calibri" w:hAnsi="Calibri" w:cs="Times New Roman"/>
          <w:color w:val="595959" w:themeColor="text1" w:themeTint="A6"/>
        </w:rPr>
        <w:t>ιο 2021, από 124.461</w:t>
      </w:r>
      <w:r>
        <w:rPr>
          <w:rFonts w:ascii="Calibri" w:eastAsia="Calibri" w:hAnsi="Calibri" w:cs="Times New Roman"/>
          <w:color w:val="595959" w:themeColor="text1" w:themeTint="A6"/>
        </w:rPr>
        <w:t xml:space="preserve"> </w:t>
      </w:r>
      <w:r w:rsidRPr="008D195D">
        <w:rPr>
          <w:rFonts w:ascii="Calibri" w:eastAsia="Calibri" w:hAnsi="Calibri" w:cs="Times New Roman"/>
          <w:color w:val="595959" w:themeColor="text1" w:themeTint="A6"/>
        </w:rPr>
        <w:t xml:space="preserve">εκκρεμείς αιτήσεις επικουρικής σύνταξης (και εκτιμώμενη δαπάνη περίπου </w:t>
      </w:r>
      <w:r>
        <w:rPr>
          <w:rFonts w:ascii="Calibri" w:eastAsia="Calibri" w:hAnsi="Calibri" w:cs="Times New Roman"/>
          <w:color w:val="595959" w:themeColor="text1" w:themeTint="A6"/>
        </w:rPr>
        <w:t>127</w:t>
      </w:r>
      <w:r w:rsidRPr="008D195D">
        <w:rPr>
          <w:rFonts w:ascii="Calibri" w:eastAsia="Calibri" w:hAnsi="Calibri" w:cs="Times New Roman"/>
          <w:color w:val="595959" w:themeColor="text1" w:themeTint="A6"/>
        </w:rPr>
        <w:t xml:space="preserve"> εκατ. ευρώ) σε </w:t>
      </w:r>
      <w:r>
        <w:rPr>
          <w:rFonts w:ascii="Calibri" w:eastAsia="Calibri" w:hAnsi="Calibri" w:cs="Times New Roman"/>
          <w:color w:val="595959" w:themeColor="text1" w:themeTint="A6"/>
        </w:rPr>
        <w:t>123.792</w:t>
      </w:r>
      <w:r w:rsidRPr="008D195D">
        <w:rPr>
          <w:rFonts w:ascii="Calibri" w:eastAsia="Calibri" w:hAnsi="Calibri" w:cs="Times New Roman"/>
          <w:color w:val="595959" w:themeColor="text1" w:themeTint="A6"/>
        </w:rPr>
        <w:t xml:space="preserve"> (και εκτιμώμενη δαπάνη περίπου </w:t>
      </w:r>
      <w:r>
        <w:rPr>
          <w:rFonts w:ascii="Calibri" w:eastAsia="Calibri" w:hAnsi="Calibri" w:cs="Times New Roman"/>
          <w:color w:val="595959" w:themeColor="text1" w:themeTint="A6"/>
        </w:rPr>
        <w:t>222</w:t>
      </w:r>
      <w:r w:rsidRPr="008D195D">
        <w:rPr>
          <w:rFonts w:ascii="Calibri" w:eastAsia="Calibri" w:hAnsi="Calibri" w:cs="Times New Roman"/>
          <w:color w:val="595959" w:themeColor="text1" w:themeTint="A6"/>
        </w:rPr>
        <w:t xml:space="preserve"> εκατ. ευρώ). Οι ληξιπρόθεσμες (εκκρεμείς πάνω από 90 ημέρες) αιτήσεις </w:t>
      </w:r>
      <w:r>
        <w:rPr>
          <w:rFonts w:ascii="Calibri" w:eastAsia="Calibri" w:hAnsi="Calibri" w:cs="Times New Roman"/>
          <w:color w:val="595959" w:themeColor="text1" w:themeTint="A6"/>
        </w:rPr>
        <w:t xml:space="preserve">επικουρικής σύνταξης </w:t>
      </w:r>
      <w:r w:rsidRPr="008D195D">
        <w:rPr>
          <w:rFonts w:ascii="Calibri" w:eastAsia="Calibri" w:hAnsi="Calibri" w:cs="Times New Roman"/>
          <w:color w:val="595959" w:themeColor="text1" w:themeTint="A6"/>
        </w:rPr>
        <w:t xml:space="preserve">μειώθηκαν από 99.160 στο τέλος </w:t>
      </w:r>
      <w:r>
        <w:rPr>
          <w:rFonts w:ascii="Calibri" w:eastAsia="Calibri" w:hAnsi="Calibri" w:cs="Times New Roman"/>
          <w:color w:val="595959" w:themeColor="text1" w:themeTint="A6"/>
        </w:rPr>
        <w:t>Σεπτεμβρ</w:t>
      </w:r>
      <w:r w:rsidRPr="008D195D">
        <w:rPr>
          <w:rFonts w:ascii="Calibri" w:eastAsia="Calibri" w:hAnsi="Calibri" w:cs="Times New Roman"/>
          <w:color w:val="595959" w:themeColor="text1" w:themeTint="A6"/>
        </w:rPr>
        <w:t xml:space="preserve">ίου 2021 (εκτιμώμενη δαπάνη περίπου </w:t>
      </w:r>
      <w:r>
        <w:rPr>
          <w:rFonts w:ascii="Calibri" w:eastAsia="Calibri" w:hAnsi="Calibri" w:cs="Times New Roman"/>
          <w:color w:val="595959" w:themeColor="text1" w:themeTint="A6"/>
        </w:rPr>
        <w:t>177,7</w:t>
      </w:r>
      <w:r w:rsidRPr="008D195D">
        <w:rPr>
          <w:rFonts w:ascii="Calibri" w:eastAsia="Calibri" w:hAnsi="Calibri" w:cs="Times New Roman"/>
          <w:color w:val="595959" w:themeColor="text1" w:themeTint="A6"/>
        </w:rPr>
        <w:t xml:space="preserve"> εκατ. ευρώ) σε </w:t>
      </w:r>
      <w:r>
        <w:rPr>
          <w:rFonts w:ascii="Calibri" w:eastAsia="Calibri" w:hAnsi="Calibri" w:cs="Times New Roman"/>
          <w:color w:val="595959" w:themeColor="text1" w:themeTint="A6"/>
        </w:rPr>
        <w:t>96.546</w:t>
      </w:r>
      <w:r w:rsidRPr="008D195D">
        <w:rPr>
          <w:rFonts w:ascii="Calibri" w:eastAsia="Calibri" w:hAnsi="Calibri" w:cs="Times New Roman"/>
          <w:color w:val="595959" w:themeColor="text1" w:themeTint="A6"/>
        </w:rPr>
        <w:t xml:space="preserve"> στο τέλος </w:t>
      </w:r>
      <w:r>
        <w:rPr>
          <w:rFonts w:ascii="Calibri" w:eastAsia="Calibri" w:hAnsi="Calibri" w:cs="Times New Roman"/>
          <w:color w:val="595959" w:themeColor="text1" w:themeTint="A6"/>
        </w:rPr>
        <w:t>Δεκ</w:t>
      </w:r>
      <w:r w:rsidRPr="008D195D">
        <w:rPr>
          <w:rFonts w:ascii="Calibri" w:eastAsia="Calibri" w:hAnsi="Calibri" w:cs="Times New Roman"/>
          <w:color w:val="595959" w:themeColor="text1" w:themeTint="A6"/>
        </w:rPr>
        <w:t>εμβρίου 2021 (εκτιμώμενη δαπάνη περίπου 17</w:t>
      </w:r>
      <w:r>
        <w:rPr>
          <w:rFonts w:ascii="Calibri" w:eastAsia="Calibri" w:hAnsi="Calibri" w:cs="Times New Roman"/>
          <w:color w:val="595959" w:themeColor="text1" w:themeTint="A6"/>
        </w:rPr>
        <w:t>3</w:t>
      </w:r>
      <w:r w:rsidRPr="008D195D">
        <w:rPr>
          <w:rFonts w:ascii="Calibri" w:eastAsia="Calibri" w:hAnsi="Calibri" w:cs="Times New Roman"/>
          <w:color w:val="595959" w:themeColor="text1" w:themeTint="A6"/>
        </w:rPr>
        <w:t xml:space="preserve"> εκατ. ευρώ). Στον επόμενο πίνακα φαίνεται η εξέλιξη των εκκρεμών και των ληξιπρόθεσμων αιτήσεων συνταξιοδότησης (επικουρικής σύνταξης) στο τέλος κάθε μήνα για το διάστημα Απριλίου – </w:t>
      </w:r>
      <w:r>
        <w:rPr>
          <w:rFonts w:ascii="Calibri" w:eastAsia="Calibri" w:hAnsi="Calibri" w:cs="Times New Roman"/>
          <w:color w:val="595959" w:themeColor="text1" w:themeTint="A6"/>
        </w:rPr>
        <w:t>Δεκ</w:t>
      </w:r>
      <w:r w:rsidRPr="008D195D">
        <w:rPr>
          <w:rFonts w:ascii="Calibri" w:eastAsia="Calibri" w:hAnsi="Calibri" w:cs="Times New Roman"/>
          <w:color w:val="595959" w:themeColor="text1" w:themeTint="A6"/>
        </w:rPr>
        <w:t>εμβρίου 2021, καθώς και η σχετική εκτιμώμενη δαπάνη.</w:t>
      </w:r>
    </w:p>
    <w:p w14:paraId="545CF8C7" w14:textId="77777777" w:rsidR="00D47A7E" w:rsidRPr="00825080" w:rsidRDefault="00D47A7E" w:rsidP="00D47A7E">
      <w:pPr>
        <w:spacing w:after="0" w:line="276" w:lineRule="auto"/>
        <w:jc w:val="both"/>
        <w:rPr>
          <w:rFonts w:ascii="Calibri" w:eastAsia="Calibri" w:hAnsi="Calibri" w:cs="Times New Roman"/>
          <w:color w:val="595959" w:themeColor="text1" w:themeTint="A6"/>
        </w:rPr>
      </w:pPr>
    </w:p>
    <w:p w14:paraId="0DC0CEED" w14:textId="77777777" w:rsidR="00D47A7E" w:rsidRDefault="00D47A7E" w:rsidP="00D47A7E">
      <w:pPr>
        <w:pStyle w:val="Caption"/>
        <w:keepNext/>
        <w:jc w:val="center"/>
      </w:pPr>
      <w:bookmarkStart w:id="174" w:name="_Toc98160553"/>
      <w:r>
        <w:t xml:space="preserve">Πίνακας </w:t>
      </w:r>
      <w:r w:rsidR="009B7AD0">
        <w:rPr>
          <w:noProof/>
        </w:rPr>
        <w:fldChar w:fldCharType="begin"/>
      </w:r>
      <w:r>
        <w:rPr>
          <w:noProof/>
        </w:rPr>
        <w:instrText xml:space="preserve"> SEQ Πίνακας \* ARABIC </w:instrText>
      </w:r>
      <w:r w:rsidR="009B7AD0">
        <w:rPr>
          <w:noProof/>
        </w:rPr>
        <w:fldChar w:fldCharType="separate"/>
      </w:r>
      <w:r w:rsidR="003B23C4">
        <w:rPr>
          <w:noProof/>
        </w:rPr>
        <w:t>10</w:t>
      </w:r>
      <w:r w:rsidR="009B7AD0">
        <w:rPr>
          <w:noProof/>
        </w:rPr>
        <w:fldChar w:fldCharType="end"/>
      </w:r>
      <w:r w:rsidRPr="00825080">
        <w:t xml:space="preserve"> </w:t>
      </w:r>
      <w:r w:rsidRPr="00E009EF">
        <w:t xml:space="preserve">Αριθμός εκκρεμών και ληξιπρόθεσμων αιτήσεων συνταξιοδότησης (επικουρικής σύνταξης)  στο τέλος κάθε μήνα, Απρίλιος – </w:t>
      </w:r>
      <w:r>
        <w:t>Δεκ</w:t>
      </w:r>
      <w:r w:rsidRPr="00E009EF">
        <w:t>έμβριος 2021 (ποσά σε ευρώ)</w:t>
      </w:r>
      <w:bookmarkEnd w:id="174"/>
    </w:p>
    <w:tbl>
      <w:tblPr>
        <w:tblW w:w="8080" w:type="dxa"/>
        <w:jc w:val="center"/>
        <w:tblLayout w:type="fixed"/>
        <w:tblLook w:val="04A0" w:firstRow="1" w:lastRow="0" w:firstColumn="1" w:lastColumn="0" w:noHBand="0" w:noVBand="1"/>
      </w:tblPr>
      <w:tblGrid>
        <w:gridCol w:w="1546"/>
        <w:gridCol w:w="1547"/>
        <w:gridCol w:w="1547"/>
        <w:gridCol w:w="1547"/>
        <w:gridCol w:w="1893"/>
      </w:tblGrid>
      <w:tr w:rsidR="00D47A7E" w:rsidRPr="008D195D" w14:paraId="3318071F" w14:textId="77777777" w:rsidTr="003F4366">
        <w:trPr>
          <w:trHeight w:val="300"/>
          <w:jc w:val="center"/>
        </w:trPr>
        <w:tc>
          <w:tcPr>
            <w:tcW w:w="1560" w:type="dxa"/>
            <w:tcBorders>
              <w:bottom w:val="single" w:sz="4" w:space="0" w:color="auto"/>
            </w:tcBorders>
            <w:vAlign w:val="center"/>
            <w:hideMark/>
          </w:tcPr>
          <w:p w14:paraId="38CF0B67" w14:textId="77777777" w:rsidR="00D47A7E" w:rsidRPr="008D195D" w:rsidRDefault="00D47A7E" w:rsidP="003F4366">
            <w:pPr>
              <w:spacing w:after="200" w:line="276" w:lineRule="auto"/>
              <w:rPr>
                <w:rFonts w:eastAsia="Calibri" w:cstheme="majorHAnsi"/>
                <w:color w:val="595959" w:themeColor="text1" w:themeTint="A6"/>
                <w:sz w:val="16"/>
                <w:szCs w:val="16"/>
              </w:rPr>
            </w:pPr>
          </w:p>
        </w:tc>
        <w:tc>
          <w:tcPr>
            <w:tcW w:w="1134" w:type="dxa"/>
            <w:tcBorders>
              <w:bottom w:val="single" w:sz="4" w:space="0" w:color="auto"/>
            </w:tcBorders>
            <w:noWrap/>
            <w:vAlign w:val="center"/>
          </w:tcPr>
          <w:p w14:paraId="79F535D2" w14:textId="77777777" w:rsidR="00D47A7E" w:rsidRPr="008D195D" w:rsidRDefault="00D47A7E" w:rsidP="003F4366">
            <w:pPr>
              <w:spacing w:after="0" w:line="276" w:lineRule="auto"/>
              <w:jc w:val="center"/>
              <w:rPr>
                <w:rFonts w:eastAsia="Times New Roman" w:cstheme="majorHAnsi"/>
                <w:b/>
                <w:color w:val="595959" w:themeColor="text1" w:themeTint="A6"/>
                <w:sz w:val="16"/>
                <w:szCs w:val="16"/>
                <w:lang w:eastAsia="el-GR"/>
              </w:rPr>
            </w:pPr>
            <w:r w:rsidRPr="008D195D">
              <w:rPr>
                <w:rFonts w:eastAsia="Times New Roman" w:cstheme="majorHAnsi"/>
                <w:color w:val="595959" w:themeColor="text1" w:themeTint="A6"/>
                <w:sz w:val="18"/>
                <w:szCs w:val="18"/>
                <w:lang w:eastAsia="el-GR"/>
              </w:rPr>
              <w:t>Εκκρεμείς συντάξεις</w:t>
            </w:r>
          </w:p>
        </w:tc>
        <w:tc>
          <w:tcPr>
            <w:tcW w:w="1843" w:type="dxa"/>
            <w:tcBorders>
              <w:bottom w:val="single" w:sz="4" w:space="0" w:color="auto"/>
            </w:tcBorders>
            <w:vAlign w:val="center"/>
          </w:tcPr>
          <w:p w14:paraId="4F1EBD76" w14:textId="77777777" w:rsidR="00D47A7E" w:rsidRPr="008D195D" w:rsidRDefault="00D47A7E" w:rsidP="003F4366">
            <w:pPr>
              <w:spacing w:after="0" w:line="276" w:lineRule="auto"/>
              <w:jc w:val="center"/>
              <w:rPr>
                <w:rFonts w:eastAsia="Times New Roman" w:cstheme="majorHAnsi"/>
                <w:b/>
                <w:color w:val="595959" w:themeColor="text1" w:themeTint="A6"/>
                <w:sz w:val="16"/>
                <w:szCs w:val="16"/>
                <w:lang w:eastAsia="el-GR"/>
              </w:rPr>
            </w:pPr>
            <w:r w:rsidRPr="008D195D">
              <w:rPr>
                <w:rFonts w:eastAsia="Times New Roman" w:cstheme="majorHAnsi"/>
                <w:color w:val="595959" w:themeColor="text1" w:themeTint="A6"/>
                <w:sz w:val="18"/>
                <w:szCs w:val="18"/>
                <w:lang w:eastAsia="el-GR"/>
              </w:rPr>
              <w:t>Οφειλόμενο ποσό εκκρεμών συντάξεων (εκτίμηση)</w:t>
            </w:r>
          </w:p>
        </w:tc>
        <w:tc>
          <w:tcPr>
            <w:tcW w:w="1276" w:type="dxa"/>
            <w:tcBorders>
              <w:bottom w:val="single" w:sz="4" w:space="0" w:color="auto"/>
            </w:tcBorders>
            <w:vAlign w:val="center"/>
          </w:tcPr>
          <w:p w14:paraId="69574197" w14:textId="77777777" w:rsidR="00D47A7E" w:rsidRPr="008D195D" w:rsidRDefault="00D47A7E" w:rsidP="003F4366">
            <w:pPr>
              <w:spacing w:after="0" w:line="276" w:lineRule="auto"/>
              <w:ind w:hanging="108"/>
              <w:jc w:val="center"/>
              <w:rPr>
                <w:rFonts w:eastAsia="Times New Roman" w:cstheme="majorHAnsi"/>
                <w:b/>
                <w:color w:val="595959" w:themeColor="text1" w:themeTint="A6"/>
                <w:sz w:val="16"/>
                <w:szCs w:val="16"/>
                <w:lang w:eastAsia="el-GR"/>
              </w:rPr>
            </w:pPr>
            <w:r w:rsidRPr="008D195D">
              <w:rPr>
                <w:rFonts w:eastAsia="Times New Roman" w:cstheme="majorHAnsi"/>
                <w:color w:val="595959" w:themeColor="text1" w:themeTint="A6"/>
                <w:sz w:val="18"/>
                <w:szCs w:val="18"/>
                <w:lang w:eastAsia="el-GR"/>
              </w:rPr>
              <w:t>Ληξιπρόθεσμες συντάξεις</w:t>
            </w:r>
          </w:p>
        </w:tc>
        <w:tc>
          <w:tcPr>
            <w:tcW w:w="2267" w:type="dxa"/>
            <w:tcBorders>
              <w:bottom w:val="single" w:sz="4" w:space="0" w:color="auto"/>
            </w:tcBorders>
            <w:noWrap/>
            <w:vAlign w:val="center"/>
            <w:hideMark/>
          </w:tcPr>
          <w:p w14:paraId="537C2302"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Οφειλόμενο ποσό ληξιπρόθεσμων συντάξεων</w:t>
            </w:r>
          </w:p>
          <w:p w14:paraId="5C57E5CE" w14:textId="77777777" w:rsidR="00D47A7E" w:rsidRPr="008D195D" w:rsidRDefault="00D47A7E" w:rsidP="003F4366">
            <w:pPr>
              <w:spacing w:after="0" w:line="276" w:lineRule="auto"/>
              <w:jc w:val="center"/>
              <w:rPr>
                <w:rFonts w:eastAsia="Times New Roman" w:cstheme="majorHAnsi"/>
                <w:b/>
                <w:color w:val="595959" w:themeColor="text1" w:themeTint="A6"/>
                <w:sz w:val="16"/>
                <w:szCs w:val="16"/>
                <w:lang w:eastAsia="el-GR"/>
              </w:rPr>
            </w:pPr>
            <w:r w:rsidRPr="008D195D">
              <w:rPr>
                <w:rFonts w:eastAsia="Times New Roman" w:cstheme="majorHAnsi"/>
                <w:color w:val="595959" w:themeColor="text1" w:themeTint="A6"/>
                <w:sz w:val="18"/>
                <w:szCs w:val="18"/>
                <w:lang w:eastAsia="el-GR"/>
              </w:rPr>
              <w:t>(εκτίμηση)</w:t>
            </w:r>
          </w:p>
        </w:tc>
      </w:tr>
      <w:tr w:rsidR="00D47A7E" w:rsidRPr="008D195D" w14:paraId="4CC166D7" w14:textId="77777777" w:rsidTr="003F4366">
        <w:trPr>
          <w:trHeight w:val="269"/>
          <w:jc w:val="center"/>
        </w:trPr>
        <w:tc>
          <w:tcPr>
            <w:tcW w:w="1560" w:type="dxa"/>
            <w:tcBorders>
              <w:top w:val="single" w:sz="4" w:space="0" w:color="auto"/>
            </w:tcBorders>
            <w:vAlign w:val="center"/>
          </w:tcPr>
          <w:p w14:paraId="3BD610B2"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Απρίλιος 2021</w:t>
            </w:r>
          </w:p>
        </w:tc>
        <w:tc>
          <w:tcPr>
            <w:tcW w:w="1134" w:type="dxa"/>
            <w:tcBorders>
              <w:top w:val="single" w:sz="4" w:space="0" w:color="auto"/>
            </w:tcBorders>
            <w:noWrap/>
            <w:vAlign w:val="center"/>
          </w:tcPr>
          <w:p w14:paraId="1E4B4DBD"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124.274</w:t>
            </w:r>
          </w:p>
        </w:tc>
        <w:tc>
          <w:tcPr>
            <w:tcW w:w="1843" w:type="dxa"/>
            <w:tcBorders>
              <w:top w:val="single" w:sz="4" w:space="0" w:color="auto"/>
            </w:tcBorders>
            <w:vAlign w:val="center"/>
          </w:tcPr>
          <w:p w14:paraId="49F213AA"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222.685.581</w:t>
            </w:r>
          </w:p>
        </w:tc>
        <w:tc>
          <w:tcPr>
            <w:tcW w:w="1276" w:type="dxa"/>
            <w:tcBorders>
              <w:top w:val="single" w:sz="4" w:space="0" w:color="auto"/>
            </w:tcBorders>
            <w:shd w:val="clear" w:color="auto" w:fill="auto"/>
            <w:vAlign w:val="center"/>
          </w:tcPr>
          <w:p w14:paraId="66E94FF3"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101.698</w:t>
            </w:r>
          </w:p>
        </w:tc>
        <w:tc>
          <w:tcPr>
            <w:tcW w:w="2267" w:type="dxa"/>
            <w:tcBorders>
              <w:top w:val="single" w:sz="4" w:space="0" w:color="auto"/>
            </w:tcBorders>
            <w:shd w:val="clear" w:color="auto" w:fill="auto"/>
            <w:noWrap/>
            <w:vAlign w:val="center"/>
          </w:tcPr>
          <w:p w14:paraId="1FAD0C66"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182.232.646</w:t>
            </w:r>
          </w:p>
        </w:tc>
      </w:tr>
      <w:tr w:rsidR="00D47A7E" w:rsidRPr="008D195D" w14:paraId="75C68B06" w14:textId="77777777" w:rsidTr="003F4366">
        <w:trPr>
          <w:trHeight w:val="480"/>
          <w:jc w:val="center"/>
        </w:trPr>
        <w:tc>
          <w:tcPr>
            <w:tcW w:w="1560" w:type="dxa"/>
            <w:vAlign w:val="center"/>
          </w:tcPr>
          <w:p w14:paraId="32933261"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Μάιος 2021</w:t>
            </w:r>
          </w:p>
        </w:tc>
        <w:tc>
          <w:tcPr>
            <w:tcW w:w="1134" w:type="dxa"/>
            <w:noWrap/>
            <w:vAlign w:val="center"/>
          </w:tcPr>
          <w:p w14:paraId="540078C5"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125.641</w:t>
            </w:r>
          </w:p>
        </w:tc>
        <w:tc>
          <w:tcPr>
            <w:tcW w:w="1843" w:type="dxa"/>
            <w:vAlign w:val="center"/>
          </w:tcPr>
          <w:p w14:paraId="31260CFC"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225.136.108</w:t>
            </w:r>
          </w:p>
        </w:tc>
        <w:tc>
          <w:tcPr>
            <w:tcW w:w="1276" w:type="dxa"/>
            <w:shd w:val="clear" w:color="auto" w:fill="auto"/>
            <w:vAlign w:val="center"/>
          </w:tcPr>
          <w:p w14:paraId="1BCCFD36"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102.342</w:t>
            </w:r>
          </w:p>
        </w:tc>
        <w:tc>
          <w:tcPr>
            <w:tcW w:w="2267" w:type="dxa"/>
            <w:shd w:val="clear" w:color="auto" w:fill="auto"/>
            <w:noWrap/>
            <w:vAlign w:val="center"/>
          </w:tcPr>
          <w:p w14:paraId="221AB60B"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183.386.630</w:t>
            </w:r>
          </w:p>
        </w:tc>
      </w:tr>
      <w:tr w:rsidR="00D47A7E" w:rsidRPr="008D195D" w14:paraId="6DECC2BE" w14:textId="77777777" w:rsidTr="003F4366">
        <w:trPr>
          <w:trHeight w:val="300"/>
          <w:jc w:val="center"/>
        </w:trPr>
        <w:tc>
          <w:tcPr>
            <w:tcW w:w="1560" w:type="dxa"/>
            <w:vAlign w:val="center"/>
          </w:tcPr>
          <w:p w14:paraId="5CD06CE0"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Ιούνιος 2021</w:t>
            </w:r>
          </w:p>
        </w:tc>
        <w:tc>
          <w:tcPr>
            <w:tcW w:w="1134" w:type="dxa"/>
            <w:noWrap/>
            <w:vAlign w:val="center"/>
          </w:tcPr>
          <w:p w14:paraId="42EDA56A"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125.099</w:t>
            </w:r>
          </w:p>
        </w:tc>
        <w:tc>
          <w:tcPr>
            <w:tcW w:w="1843" w:type="dxa"/>
            <w:vAlign w:val="center"/>
          </w:tcPr>
          <w:p w14:paraId="31EFBDC2"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224.164.047</w:t>
            </w:r>
          </w:p>
        </w:tc>
        <w:tc>
          <w:tcPr>
            <w:tcW w:w="1276" w:type="dxa"/>
            <w:shd w:val="clear" w:color="auto" w:fill="auto"/>
            <w:vAlign w:val="center"/>
          </w:tcPr>
          <w:p w14:paraId="554F84AE"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102.241</w:t>
            </w:r>
          </w:p>
        </w:tc>
        <w:tc>
          <w:tcPr>
            <w:tcW w:w="2267" w:type="dxa"/>
            <w:shd w:val="clear" w:color="auto" w:fill="auto"/>
            <w:noWrap/>
            <w:vAlign w:val="center"/>
          </w:tcPr>
          <w:p w14:paraId="66A1F2CE"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183.204.797</w:t>
            </w:r>
          </w:p>
        </w:tc>
      </w:tr>
      <w:tr w:rsidR="00D47A7E" w:rsidRPr="008D195D" w14:paraId="3C7C3FC5" w14:textId="77777777" w:rsidTr="003F4366">
        <w:trPr>
          <w:trHeight w:val="480"/>
          <w:jc w:val="center"/>
        </w:trPr>
        <w:tc>
          <w:tcPr>
            <w:tcW w:w="1560" w:type="dxa"/>
            <w:vAlign w:val="center"/>
          </w:tcPr>
          <w:p w14:paraId="2EF7E12B"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Ιούλιος 2021</w:t>
            </w:r>
          </w:p>
        </w:tc>
        <w:tc>
          <w:tcPr>
            <w:tcW w:w="1134" w:type="dxa"/>
            <w:noWrap/>
            <w:vAlign w:val="center"/>
          </w:tcPr>
          <w:p w14:paraId="7686090E"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127.454</w:t>
            </w:r>
          </w:p>
        </w:tc>
        <w:tc>
          <w:tcPr>
            <w:tcW w:w="1843" w:type="dxa"/>
            <w:vAlign w:val="center"/>
          </w:tcPr>
          <w:p w14:paraId="0F166782"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228.384.572</w:t>
            </w:r>
          </w:p>
        </w:tc>
        <w:tc>
          <w:tcPr>
            <w:tcW w:w="1276" w:type="dxa"/>
            <w:shd w:val="clear" w:color="auto" w:fill="auto"/>
            <w:vAlign w:val="center"/>
          </w:tcPr>
          <w:p w14:paraId="698D9ECC"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104.094</w:t>
            </w:r>
          </w:p>
        </w:tc>
        <w:tc>
          <w:tcPr>
            <w:tcW w:w="2267" w:type="dxa"/>
            <w:shd w:val="clear" w:color="auto" w:fill="auto"/>
            <w:noWrap/>
            <w:vAlign w:val="center"/>
          </w:tcPr>
          <w:p w14:paraId="7911D744"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186.525.788</w:t>
            </w:r>
          </w:p>
        </w:tc>
      </w:tr>
      <w:tr w:rsidR="00D47A7E" w:rsidRPr="008D195D" w14:paraId="34B605AE" w14:textId="77777777" w:rsidTr="003F4366">
        <w:trPr>
          <w:trHeight w:val="302"/>
          <w:jc w:val="center"/>
        </w:trPr>
        <w:tc>
          <w:tcPr>
            <w:tcW w:w="1843" w:type="dxa"/>
            <w:vAlign w:val="center"/>
          </w:tcPr>
          <w:p w14:paraId="05A729FC"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Αύγουστος 2021</w:t>
            </w:r>
          </w:p>
        </w:tc>
        <w:tc>
          <w:tcPr>
            <w:tcW w:w="1843" w:type="dxa"/>
            <w:noWrap/>
            <w:vAlign w:val="center"/>
          </w:tcPr>
          <w:p w14:paraId="79024B9C"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126.954</w:t>
            </w:r>
          </w:p>
        </w:tc>
        <w:tc>
          <w:tcPr>
            <w:tcW w:w="1843" w:type="dxa"/>
            <w:vAlign w:val="center"/>
          </w:tcPr>
          <w:p w14:paraId="681BA02C"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227.488.443</w:t>
            </w:r>
          </w:p>
        </w:tc>
        <w:tc>
          <w:tcPr>
            <w:tcW w:w="1843" w:type="dxa"/>
            <w:shd w:val="clear" w:color="auto" w:fill="auto"/>
            <w:vAlign w:val="center"/>
          </w:tcPr>
          <w:p w14:paraId="06DCA59C"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103.813</w:t>
            </w:r>
          </w:p>
        </w:tc>
        <w:tc>
          <w:tcPr>
            <w:tcW w:w="1843" w:type="dxa"/>
            <w:shd w:val="clear" w:color="auto" w:fill="auto"/>
            <w:noWrap/>
            <w:vAlign w:val="center"/>
          </w:tcPr>
          <w:p w14:paraId="59C9FB2E"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186.022.085</w:t>
            </w:r>
          </w:p>
        </w:tc>
      </w:tr>
      <w:tr w:rsidR="00D47A7E" w:rsidRPr="008D195D" w14:paraId="38F47CC0" w14:textId="77777777" w:rsidTr="003F4366">
        <w:trPr>
          <w:trHeight w:val="302"/>
          <w:jc w:val="center"/>
        </w:trPr>
        <w:tc>
          <w:tcPr>
            <w:tcW w:w="1843" w:type="dxa"/>
            <w:vAlign w:val="center"/>
          </w:tcPr>
          <w:p w14:paraId="4604A240"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Σεπτέμβριος 2021</w:t>
            </w:r>
          </w:p>
        </w:tc>
        <w:tc>
          <w:tcPr>
            <w:tcW w:w="1843" w:type="dxa"/>
            <w:noWrap/>
            <w:vAlign w:val="center"/>
          </w:tcPr>
          <w:p w14:paraId="3AD15A60"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124.461</w:t>
            </w:r>
          </w:p>
        </w:tc>
        <w:tc>
          <w:tcPr>
            <w:tcW w:w="1843" w:type="dxa"/>
            <w:vAlign w:val="center"/>
          </w:tcPr>
          <w:p w14:paraId="0C84E8A6"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127.078.237</w:t>
            </w:r>
          </w:p>
        </w:tc>
        <w:tc>
          <w:tcPr>
            <w:tcW w:w="1843" w:type="dxa"/>
            <w:shd w:val="clear" w:color="auto" w:fill="auto"/>
            <w:vAlign w:val="center"/>
          </w:tcPr>
          <w:p w14:paraId="61DDDEA0"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99.160</w:t>
            </w:r>
          </w:p>
        </w:tc>
        <w:tc>
          <w:tcPr>
            <w:tcW w:w="1843" w:type="dxa"/>
            <w:shd w:val="clear" w:color="auto" w:fill="auto"/>
            <w:noWrap/>
            <w:vAlign w:val="center"/>
          </w:tcPr>
          <w:p w14:paraId="17B2946B"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sidRPr="008D195D">
              <w:rPr>
                <w:rFonts w:eastAsia="Times New Roman" w:cstheme="majorHAnsi"/>
                <w:color w:val="595959" w:themeColor="text1" w:themeTint="A6"/>
                <w:sz w:val="18"/>
                <w:szCs w:val="18"/>
                <w:lang w:eastAsia="el-GR"/>
              </w:rPr>
              <w:t>177.684.213</w:t>
            </w:r>
          </w:p>
        </w:tc>
      </w:tr>
      <w:tr w:rsidR="00D47A7E" w:rsidRPr="008D195D" w14:paraId="6A54D985" w14:textId="77777777" w:rsidTr="003F4366">
        <w:trPr>
          <w:trHeight w:val="302"/>
          <w:jc w:val="center"/>
        </w:trPr>
        <w:tc>
          <w:tcPr>
            <w:tcW w:w="1843" w:type="dxa"/>
            <w:vAlign w:val="center"/>
          </w:tcPr>
          <w:p w14:paraId="1662AE37"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Οκτώβριος 2021</w:t>
            </w:r>
          </w:p>
        </w:tc>
        <w:tc>
          <w:tcPr>
            <w:tcW w:w="1843" w:type="dxa"/>
            <w:noWrap/>
            <w:vAlign w:val="center"/>
          </w:tcPr>
          <w:p w14:paraId="62C22D00"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124.121</w:t>
            </w:r>
          </w:p>
        </w:tc>
        <w:tc>
          <w:tcPr>
            <w:tcW w:w="1843" w:type="dxa"/>
            <w:vAlign w:val="center"/>
          </w:tcPr>
          <w:p w14:paraId="4E453B9B"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222.411.703</w:t>
            </w:r>
          </w:p>
        </w:tc>
        <w:tc>
          <w:tcPr>
            <w:tcW w:w="1843" w:type="dxa"/>
            <w:shd w:val="clear" w:color="auto" w:fill="auto"/>
            <w:vAlign w:val="center"/>
          </w:tcPr>
          <w:p w14:paraId="510C84A5"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98.089</w:t>
            </w:r>
          </w:p>
        </w:tc>
        <w:tc>
          <w:tcPr>
            <w:tcW w:w="1843" w:type="dxa"/>
            <w:shd w:val="clear" w:color="auto" w:fill="auto"/>
            <w:noWrap/>
            <w:vAlign w:val="center"/>
          </w:tcPr>
          <w:p w14:paraId="684997E3"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175.764.962</w:t>
            </w:r>
          </w:p>
        </w:tc>
      </w:tr>
      <w:tr w:rsidR="00D47A7E" w:rsidRPr="008D195D" w14:paraId="0F094348" w14:textId="77777777" w:rsidTr="003F4366">
        <w:trPr>
          <w:trHeight w:val="302"/>
          <w:jc w:val="center"/>
        </w:trPr>
        <w:tc>
          <w:tcPr>
            <w:tcW w:w="1843" w:type="dxa"/>
            <w:vAlign w:val="center"/>
          </w:tcPr>
          <w:p w14:paraId="5429BF66"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Νοέμβριος 2021</w:t>
            </w:r>
          </w:p>
        </w:tc>
        <w:tc>
          <w:tcPr>
            <w:tcW w:w="1843" w:type="dxa"/>
            <w:noWrap/>
            <w:vAlign w:val="center"/>
          </w:tcPr>
          <w:p w14:paraId="60A07E19"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123.230</w:t>
            </w:r>
          </w:p>
        </w:tc>
        <w:tc>
          <w:tcPr>
            <w:tcW w:w="1843" w:type="dxa"/>
            <w:vAlign w:val="center"/>
          </w:tcPr>
          <w:p w14:paraId="08128151"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220.815.837</w:t>
            </w:r>
          </w:p>
        </w:tc>
        <w:tc>
          <w:tcPr>
            <w:tcW w:w="1843" w:type="dxa"/>
            <w:shd w:val="clear" w:color="auto" w:fill="auto"/>
            <w:vAlign w:val="center"/>
          </w:tcPr>
          <w:p w14:paraId="48F7BA0C"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95.418</w:t>
            </w:r>
          </w:p>
        </w:tc>
        <w:tc>
          <w:tcPr>
            <w:tcW w:w="1843" w:type="dxa"/>
            <w:shd w:val="clear" w:color="auto" w:fill="auto"/>
            <w:noWrap/>
            <w:vAlign w:val="center"/>
          </w:tcPr>
          <w:p w14:paraId="62A92BFC" w14:textId="77777777" w:rsidR="00D47A7E" w:rsidRPr="008D195D" w:rsidRDefault="00D47A7E" w:rsidP="003F4366">
            <w:pPr>
              <w:spacing w:after="0" w:line="276"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170.979.514</w:t>
            </w:r>
          </w:p>
        </w:tc>
      </w:tr>
      <w:tr w:rsidR="00D47A7E" w:rsidRPr="008D195D" w14:paraId="26FABC54" w14:textId="77777777" w:rsidTr="003F4366">
        <w:trPr>
          <w:trHeight w:val="302"/>
          <w:jc w:val="center"/>
        </w:trPr>
        <w:tc>
          <w:tcPr>
            <w:tcW w:w="1843" w:type="dxa"/>
            <w:tcBorders>
              <w:bottom w:val="single" w:sz="4" w:space="0" w:color="auto"/>
            </w:tcBorders>
            <w:vAlign w:val="center"/>
          </w:tcPr>
          <w:p w14:paraId="7166E7BC"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Δεκέμβριος 2021</w:t>
            </w:r>
          </w:p>
        </w:tc>
        <w:tc>
          <w:tcPr>
            <w:tcW w:w="1843" w:type="dxa"/>
            <w:tcBorders>
              <w:bottom w:val="single" w:sz="4" w:space="0" w:color="auto"/>
            </w:tcBorders>
            <w:noWrap/>
            <w:vAlign w:val="center"/>
          </w:tcPr>
          <w:p w14:paraId="13D51B8C"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123.792</w:t>
            </w:r>
          </w:p>
        </w:tc>
        <w:tc>
          <w:tcPr>
            <w:tcW w:w="1843" w:type="dxa"/>
            <w:tcBorders>
              <w:bottom w:val="single" w:sz="4" w:space="0" w:color="auto"/>
            </w:tcBorders>
            <w:vAlign w:val="center"/>
          </w:tcPr>
          <w:p w14:paraId="718E9443"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221.822.885</w:t>
            </w:r>
          </w:p>
        </w:tc>
        <w:tc>
          <w:tcPr>
            <w:tcW w:w="1843" w:type="dxa"/>
            <w:tcBorders>
              <w:bottom w:val="single" w:sz="4" w:space="0" w:color="auto"/>
            </w:tcBorders>
            <w:shd w:val="clear" w:color="auto" w:fill="auto"/>
            <w:vAlign w:val="center"/>
          </w:tcPr>
          <w:p w14:paraId="05DAB658"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96.546</w:t>
            </w:r>
          </w:p>
        </w:tc>
        <w:tc>
          <w:tcPr>
            <w:tcW w:w="1843" w:type="dxa"/>
            <w:tcBorders>
              <w:bottom w:val="single" w:sz="4" w:space="0" w:color="auto"/>
            </w:tcBorders>
            <w:shd w:val="clear" w:color="auto" w:fill="auto"/>
            <w:noWrap/>
            <w:vAlign w:val="center"/>
          </w:tcPr>
          <w:p w14:paraId="329205F1" w14:textId="77777777" w:rsidR="00D47A7E" w:rsidRPr="008D195D" w:rsidRDefault="00D47A7E" w:rsidP="003F4366">
            <w:pPr>
              <w:spacing w:after="0" w:line="240" w:lineRule="auto"/>
              <w:jc w:val="center"/>
              <w:rPr>
                <w:rFonts w:eastAsia="Times New Roman" w:cstheme="majorHAnsi"/>
                <w:color w:val="595959" w:themeColor="text1" w:themeTint="A6"/>
                <w:sz w:val="18"/>
                <w:szCs w:val="18"/>
                <w:lang w:eastAsia="el-GR"/>
              </w:rPr>
            </w:pPr>
            <w:r>
              <w:rPr>
                <w:rFonts w:eastAsia="Times New Roman" w:cstheme="majorHAnsi"/>
                <w:color w:val="595959" w:themeColor="text1" w:themeTint="A6"/>
                <w:sz w:val="18"/>
                <w:szCs w:val="18"/>
                <w:lang w:eastAsia="el-GR"/>
              </w:rPr>
              <w:t>173.000.777</w:t>
            </w:r>
          </w:p>
        </w:tc>
      </w:tr>
    </w:tbl>
    <w:p w14:paraId="7C17AAD1" w14:textId="77777777" w:rsidR="00D47A7E" w:rsidRPr="008D195D" w:rsidRDefault="00D47A7E" w:rsidP="00D47A7E">
      <w:pPr>
        <w:spacing w:after="0" w:line="240" w:lineRule="auto"/>
        <w:ind w:left="567" w:hanging="567"/>
        <w:jc w:val="both"/>
        <w:rPr>
          <w:rFonts w:eastAsia="Times New Roman" w:cstheme="majorHAnsi"/>
          <w:bCs/>
          <w:color w:val="595959" w:themeColor="text1" w:themeTint="A6"/>
          <w:sz w:val="4"/>
          <w:szCs w:val="4"/>
          <w:lang w:eastAsia="el-GR"/>
        </w:rPr>
      </w:pPr>
    </w:p>
    <w:p w14:paraId="33011EFE" w14:textId="77777777" w:rsidR="00D47A7E" w:rsidRDefault="00D47A7E" w:rsidP="00D47A7E">
      <w:pPr>
        <w:spacing w:after="0" w:line="276" w:lineRule="auto"/>
        <w:jc w:val="both"/>
        <w:rPr>
          <w:rFonts w:ascii="Calibri" w:eastAsia="Calibri" w:hAnsi="Calibri" w:cs="Times New Roman"/>
          <w:color w:val="595959" w:themeColor="text1" w:themeTint="A6"/>
        </w:rPr>
      </w:pPr>
      <w:r>
        <w:rPr>
          <w:rFonts w:eastAsia="Times New Roman" w:cstheme="majorHAnsi"/>
          <w:bCs/>
          <w:color w:val="595959" w:themeColor="text1" w:themeTint="A6"/>
          <w:sz w:val="16"/>
          <w:szCs w:val="16"/>
          <w:lang w:eastAsia="el-GR"/>
        </w:rPr>
        <w:t xml:space="preserve">   </w:t>
      </w:r>
      <w:r w:rsidRPr="008D195D">
        <w:rPr>
          <w:rFonts w:eastAsia="Times New Roman" w:cstheme="majorHAnsi"/>
          <w:bCs/>
          <w:color w:val="595959" w:themeColor="text1" w:themeTint="A6"/>
          <w:sz w:val="16"/>
          <w:szCs w:val="16"/>
          <w:lang w:eastAsia="el-GR"/>
        </w:rPr>
        <w:t xml:space="preserve">Πηγή: </w:t>
      </w:r>
      <w:r w:rsidRPr="008D195D">
        <w:rPr>
          <w:rFonts w:eastAsia="Times New Roman" w:cstheme="majorHAnsi"/>
          <w:bCs/>
          <w:color w:val="595959" w:themeColor="text1" w:themeTint="A6"/>
          <w:sz w:val="16"/>
          <w:szCs w:val="16"/>
          <w:lang w:val="en-US" w:eastAsia="el-GR"/>
        </w:rPr>
        <w:t>e</w:t>
      </w:r>
      <w:r w:rsidRPr="008D195D">
        <w:rPr>
          <w:rFonts w:eastAsia="Times New Roman" w:cstheme="majorHAnsi"/>
          <w:bCs/>
          <w:color w:val="595959" w:themeColor="text1" w:themeTint="A6"/>
          <w:sz w:val="16"/>
          <w:szCs w:val="16"/>
          <w:lang w:eastAsia="el-GR"/>
        </w:rPr>
        <w:t>-ΕΦΚΑ</w:t>
      </w:r>
    </w:p>
    <w:p w14:paraId="4D0ED4E8" w14:textId="77777777" w:rsidR="00D47A7E" w:rsidRDefault="00D47A7E" w:rsidP="00D47A7E">
      <w:pPr>
        <w:spacing w:after="0" w:line="276" w:lineRule="auto"/>
        <w:jc w:val="both"/>
        <w:rPr>
          <w:rFonts w:ascii="Calibri" w:eastAsia="Calibri" w:hAnsi="Calibri" w:cs="Times New Roman"/>
          <w:color w:val="FF0000"/>
        </w:rPr>
      </w:pPr>
    </w:p>
    <w:p w14:paraId="4D0AB1EE" w14:textId="77777777" w:rsidR="00D47A7E" w:rsidRDefault="00D47A7E" w:rsidP="00D47A7E">
      <w:pPr>
        <w:spacing w:after="0" w:line="276" w:lineRule="auto"/>
        <w:jc w:val="both"/>
        <w:rPr>
          <w:rFonts w:ascii="Calibri" w:eastAsia="Calibri" w:hAnsi="Calibri" w:cs="Times New Roman"/>
          <w:color w:val="595959" w:themeColor="text1" w:themeTint="A6"/>
        </w:rPr>
      </w:pPr>
      <w:r w:rsidRPr="00855C77">
        <w:rPr>
          <w:rFonts w:ascii="Calibri" w:eastAsia="Calibri" w:hAnsi="Calibri" w:cs="Times New Roman"/>
          <w:color w:val="595959" w:themeColor="text1" w:themeTint="A6"/>
        </w:rPr>
        <w:t>Σημειώνεται ότι ο αριθμός των νέων αιτήσεων για συνταξιοδότηση</w:t>
      </w:r>
      <w:r>
        <w:rPr>
          <w:rStyle w:val="FootnoteReference"/>
          <w:rFonts w:ascii="Calibri" w:eastAsia="Calibri" w:hAnsi="Calibri" w:cs="Times New Roman"/>
          <w:color w:val="595959" w:themeColor="text1" w:themeTint="A6"/>
        </w:rPr>
        <w:footnoteReference w:id="14"/>
      </w:r>
      <w:r w:rsidRPr="00855C77">
        <w:rPr>
          <w:rFonts w:ascii="Calibri" w:eastAsia="Calibri" w:hAnsi="Calibri" w:cs="Times New Roman"/>
          <w:color w:val="595959" w:themeColor="text1" w:themeTint="A6"/>
        </w:rPr>
        <w:t xml:space="preserve"> στον </w:t>
      </w:r>
      <w:r>
        <w:rPr>
          <w:rFonts w:ascii="Calibri" w:eastAsia="Calibri" w:hAnsi="Calibri" w:cs="Times New Roman"/>
          <w:color w:val="595959" w:themeColor="text1" w:themeTint="A6"/>
          <w:lang w:val="en-US"/>
        </w:rPr>
        <w:t>e</w:t>
      </w:r>
      <w:r w:rsidRPr="005116A3">
        <w:rPr>
          <w:rFonts w:ascii="Calibri" w:eastAsia="Calibri" w:hAnsi="Calibri" w:cs="Times New Roman"/>
          <w:color w:val="595959" w:themeColor="text1" w:themeTint="A6"/>
        </w:rPr>
        <w:t>-</w:t>
      </w:r>
      <w:r w:rsidRPr="00855C77">
        <w:rPr>
          <w:rFonts w:ascii="Calibri" w:eastAsia="Calibri" w:hAnsi="Calibri" w:cs="Times New Roman"/>
          <w:color w:val="595959" w:themeColor="text1" w:themeTint="A6"/>
        </w:rPr>
        <w:t xml:space="preserve">ΕΦΚΑ αυξάνεται από το 2017 (145.555 νέες αιτήσεις) μέχρι το 2019 (166.562 νέες αιτήσεις), ενώ, με 162.906 νέες αιτήσεις, εμφανίζεται </w:t>
      </w:r>
      <w:r>
        <w:rPr>
          <w:rFonts w:ascii="Calibri" w:eastAsia="Calibri" w:hAnsi="Calibri" w:cs="Times New Roman"/>
          <w:color w:val="595959" w:themeColor="text1" w:themeTint="A6"/>
        </w:rPr>
        <w:t xml:space="preserve">ελαφρώς </w:t>
      </w:r>
      <w:r w:rsidRPr="00855C77">
        <w:rPr>
          <w:rFonts w:ascii="Calibri" w:eastAsia="Calibri" w:hAnsi="Calibri" w:cs="Times New Roman"/>
          <w:color w:val="595959" w:themeColor="text1" w:themeTint="A6"/>
        </w:rPr>
        <w:t xml:space="preserve">μειωμένος κατά το 2020 (γεγονός που πιθανώς οφείλεται στα περιοριστικά μέτρα κυκλοφορίας των πολιτών στο πλαίσιο αντιμετώπισης της πανδημίας </w:t>
      </w:r>
      <w:r w:rsidRPr="00855C77">
        <w:rPr>
          <w:rFonts w:ascii="Calibri" w:eastAsia="Calibri" w:hAnsi="Calibri" w:cs="Times New Roman"/>
          <w:color w:val="595959" w:themeColor="text1" w:themeTint="A6"/>
          <w:lang w:val="en-US"/>
        </w:rPr>
        <w:t>COVID</w:t>
      </w:r>
      <w:r w:rsidRPr="00855C77">
        <w:rPr>
          <w:rFonts w:ascii="Calibri" w:eastAsia="Calibri" w:hAnsi="Calibri" w:cs="Times New Roman"/>
          <w:color w:val="595959" w:themeColor="text1" w:themeTint="A6"/>
        </w:rPr>
        <w:t xml:space="preserve"> 19)</w:t>
      </w:r>
      <w:r>
        <w:rPr>
          <w:rFonts w:ascii="Calibri" w:eastAsia="Calibri" w:hAnsi="Calibri" w:cs="Times New Roman"/>
          <w:color w:val="595959" w:themeColor="text1" w:themeTint="A6"/>
        </w:rPr>
        <w:t xml:space="preserve">. Οι νέες αιτήσεις συνταξιοδότησης αυξάνονται το 2021 (163.872 νέες αιτήσεις). Όπως φαίνεται στον επόμενο πίνακα, η πορεία καταχώρησης νέων αιτήσεων συνταξιοδότησης καθώς και ο ρυθμός ολοκλήρωσης συνταξιοδοτικών </w:t>
      </w:r>
      <w:r>
        <w:rPr>
          <w:rFonts w:ascii="Calibri" w:eastAsia="Calibri" w:hAnsi="Calibri" w:cs="Times New Roman"/>
          <w:color w:val="595959" w:themeColor="text1" w:themeTint="A6"/>
        </w:rPr>
        <w:lastRenderedPageBreak/>
        <w:t>αιτημάτων μπορεί να δικαιολογήσει την παρατηρούμενη μείωση των εκκρεμών και ληξιπρόθεσμων αιτήσεων συνταξιοδότησης κατά το 2021 σε σχέση με τα προηγούμενα έτη. Προς την ίδια κατεύθυνση συντελεί και το γεγονός ότι κατά το 2021, η καταχώρηση νέων αιτήσεων αφορά στην πλειοψηφία τους αιτήσεις του ίδιου μήνα.</w:t>
      </w:r>
    </w:p>
    <w:p w14:paraId="2E58D5A6" w14:textId="77777777" w:rsidR="00D47A7E" w:rsidRPr="00E6654C" w:rsidRDefault="00D47A7E" w:rsidP="00D47A7E">
      <w:pPr>
        <w:spacing w:after="0" w:line="276" w:lineRule="auto"/>
        <w:jc w:val="both"/>
      </w:pPr>
    </w:p>
    <w:p w14:paraId="21090125" w14:textId="77777777" w:rsidR="00D47A7E" w:rsidRDefault="00D47A7E" w:rsidP="00D47A7E">
      <w:pPr>
        <w:pStyle w:val="Caption"/>
        <w:keepNext/>
        <w:jc w:val="center"/>
      </w:pPr>
      <w:bookmarkStart w:id="175" w:name="_Toc98160554"/>
      <w:r>
        <w:t xml:space="preserve">Πίνακας </w:t>
      </w:r>
      <w:r w:rsidR="009B7AD0">
        <w:rPr>
          <w:noProof/>
        </w:rPr>
        <w:fldChar w:fldCharType="begin"/>
      </w:r>
      <w:r>
        <w:rPr>
          <w:noProof/>
        </w:rPr>
        <w:instrText xml:space="preserve"> SEQ Πίνακας \* ARABIC </w:instrText>
      </w:r>
      <w:r w:rsidR="009B7AD0">
        <w:rPr>
          <w:noProof/>
        </w:rPr>
        <w:fldChar w:fldCharType="separate"/>
      </w:r>
      <w:r w:rsidR="003B23C4">
        <w:rPr>
          <w:noProof/>
        </w:rPr>
        <w:t>11</w:t>
      </w:r>
      <w:r w:rsidR="009B7AD0">
        <w:rPr>
          <w:noProof/>
        </w:rPr>
        <w:fldChar w:fldCharType="end"/>
      </w:r>
      <w:r w:rsidRPr="003E0BD8">
        <w:t xml:space="preserve"> </w:t>
      </w:r>
      <w:r w:rsidRPr="00E009EF">
        <w:t xml:space="preserve">Αριθμός </w:t>
      </w:r>
      <w:r>
        <w:t>νέων</w:t>
      </w:r>
      <w:r w:rsidRPr="00E009EF">
        <w:t xml:space="preserve"> αιτήσεων συνταξιοδότησης </w:t>
      </w:r>
      <w:r>
        <w:t>και ολοκλήρωσης συνταξιοδοτικών αιτημάτων</w:t>
      </w:r>
      <w:r w:rsidRPr="00E009EF">
        <w:t xml:space="preserve">, </w:t>
      </w:r>
      <w:r>
        <w:t>2019-2021</w:t>
      </w:r>
      <w:r w:rsidRPr="00E009EF">
        <w:t xml:space="preserve"> (ποσά σε ευρώ)</w:t>
      </w:r>
      <w:bookmarkEnd w:id="175"/>
    </w:p>
    <w:tbl>
      <w:tblPr>
        <w:tblStyle w:val="TableGrid"/>
        <w:tblW w:w="0" w:type="auto"/>
        <w:jc w:val="center"/>
        <w:tblLook w:val="04A0" w:firstRow="1" w:lastRow="0" w:firstColumn="1" w:lastColumn="0" w:noHBand="0" w:noVBand="1"/>
      </w:tblPr>
      <w:tblGrid>
        <w:gridCol w:w="715"/>
        <w:gridCol w:w="1800"/>
        <w:gridCol w:w="1623"/>
        <w:gridCol w:w="2074"/>
      </w:tblGrid>
      <w:tr w:rsidR="00D47A7E" w:rsidRPr="00580A46" w14:paraId="35D12DAE" w14:textId="77777777" w:rsidTr="003F4366">
        <w:trPr>
          <w:jc w:val="center"/>
        </w:trPr>
        <w:tc>
          <w:tcPr>
            <w:tcW w:w="715" w:type="dxa"/>
            <w:vMerge w:val="restart"/>
            <w:vAlign w:val="center"/>
          </w:tcPr>
          <w:p w14:paraId="717DB8FD"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Έτος</w:t>
            </w:r>
          </w:p>
        </w:tc>
        <w:tc>
          <w:tcPr>
            <w:tcW w:w="3423" w:type="dxa"/>
            <w:gridSpan w:val="2"/>
            <w:vAlign w:val="center"/>
          </w:tcPr>
          <w:p w14:paraId="7F2EA5DC"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sidRPr="00580A46">
              <w:rPr>
                <w:rFonts w:ascii="Calibri" w:eastAsia="Calibri" w:hAnsi="Calibri" w:cs="Times New Roman"/>
                <w:color w:val="595959" w:themeColor="text1" w:themeTint="A6"/>
                <w:sz w:val="18"/>
                <w:szCs w:val="18"/>
              </w:rPr>
              <w:t>Νέες αιτήσεις συνταξιοδότησης</w:t>
            </w:r>
          </w:p>
        </w:tc>
        <w:tc>
          <w:tcPr>
            <w:tcW w:w="2074" w:type="dxa"/>
            <w:vMerge w:val="restart"/>
            <w:vAlign w:val="center"/>
          </w:tcPr>
          <w:p w14:paraId="3B9DF51D"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sidRPr="00580A46">
              <w:rPr>
                <w:rFonts w:ascii="Calibri" w:eastAsia="Calibri" w:hAnsi="Calibri" w:cs="Times New Roman"/>
                <w:color w:val="595959" w:themeColor="text1" w:themeTint="A6"/>
                <w:sz w:val="18"/>
                <w:szCs w:val="18"/>
              </w:rPr>
              <w:t>Ολοκλήρωση συνταξιοδοτικών αιτημάτων</w:t>
            </w:r>
          </w:p>
        </w:tc>
      </w:tr>
      <w:tr w:rsidR="00D47A7E" w:rsidRPr="00580A46" w14:paraId="1EA73EFF" w14:textId="77777777" w:rsidTr="003F4366">
        <w:trPr>
          <w:jc w:val="center"/>
        </w:trPr>
        <w:tc>
          <w:tcPr>
            <w:tcW w:w="715" w:type="dxa"/>
            <w:vMerge/>
            <w:vAlign w:val="center"/>
          </w:tcPr>
          <w:p w14:paraId="34D24560" w14:textId="77777777" w:rsidR="00D47A7E" w:rsidRPr="00580A46" w:rsidRDefault="00D47A7E" w:rsidP="003F4366">
            <w:pPr>
              <w:spacing w:line="276" w:lineRule="auto"/>
              <w:jc w:val="both"/>
              <w:rPr>
                <w:rFonts w:ascii="Calibri" w:eastAsia="Calibri" w:hAnsi="Calibri" w:cs="Times New Roman"/>
                <w:color w:val="595959" w:themeColor="text1" w:themeTint="A6"/>
                <w:sz w:val="18"/>
                <w:szCs w:val="18"/>
              </w:rPr>
            </w:pPr>
          </w:p>
        </w:tc>
        <w:tc>
          <w:tcPr>
            <w:tcW w:w="1800" w:type="dxa"/>
            <w:vAlign w:val="center"/>
          </w:tcPr>
          <w:p w14:paraId="01BC5390"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sidRPr="00580A46">
              <w:rPr>
                <w:rFonts w:ascii="Calibri" w:eastAsia="Calibri" w:hAnsi="Calibri" w:cs="Times New Roman"/>
                <w:color w:val="595959" w:themeColor="text1" w:themeTint="A6"/>
                <w:sz w:val="18"/>
                <w:szCs w:val="18"/>
              </w:rPr>
              <w:t>Με βάση την ημερομηνία αίτησης</w:t>
            </w:r>
          </w:p>
        </w:tc>
        <w:tc>
          <w:tcPr>
            <w:tcW w:w="1623" w:type="dxa"/>
            <w:vAlign w:val="center"/>
          </w:tcPr>
          <w:p w14:paraId="30DE6D11"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sidRPr="00580A46">
              <w:rPr>
                <w:rFonts w:ascii="Calibri" w:eastAsia="Calibri" w:hAnsi="Calibri" w:cs="Times New Roman"/>
                <w:color w:val="595959" w:themeColor="text1" w:themeTint="A6"/>
                <w:sz w:val="18"/>
                <w:szCs w:val="18"/>
              </w:rPr>
              <w:t>Με βάση την ημερομηνία καταχώρησης</w:t>
            </w:r>
          </w:p>
        </w:tc>
        <w:tc>
          <w:tcPr>
            <w:tcW w:w="2074" w:type="dxa"/>
            <w:vMerge/>
            <w:vAlign w:val="center"/>
          </w:tcPr>
          <w:p w14:paraId="600AF008" w14:textId="77777777" w:rsidR="00D47A7E" w:rsidRPr="00580A46" w:rsidRDefault="00D47A7E" w:rsidP="003F4366">
            <w:pPr>
              <w:spacing w:line="276" w:lineRule="auto"/>
              <w:jc w:val="both"/>
              <w:rPr>
                <w:rFonts w:ascii="Calibri" w:eastAsia="Calibri" w:hAnsi="Calibri" w:cs="Times New Roman"/>
                <w:color w:val="595959" w:themeColor="text1" w:themeTint="A6"/>
                <w:sz w:val="18"/>
                <w:szCs w:val="18"/>
              </w:rPr>
            </w:pPr>
          </w:p>
        </w:tc>
      </w:tr>
      <w:tr w:rsidR="00D47A7E" w:rsidRPr="00580A46" w14:paraId="53994D19" w14:textId="77777777" w:rsidTr="003F4366">
        <w:trPr>
          <w:jc w:val="center"/>
        </w:trPr>
        <w:tc>
          <w:tcPr>
            <w:tcW w:w="715" w:type="dxa"/>
            <w:vAlign w:val="center"/>
          </w:tcPr>
          <w:p w14:paraId="1128792F" w14:textId="77777777" w:rsidR="00D47A7E" w:rsidRPr="00580A46" w:rsidRDefault="00D47A7E" w:rsidP="003F4366">
            <w:pPr>
              <w:spacing w:line="276" w:lineRule="auto"/>
              <w:jc w:val="both"/>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2019</w:t>
            </w:r>
          </w:p>
        </w:tc>
        <w:tc>
          <w:tcPr>
            <w:tcW w:w="1800" w:type="dxa"/>
            <w:vAlign w:val="center"/>
          </w:tcPr>
          <w:p w14:paraId="58BDAA8F"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166.231</w:t>
            </w:r>
          </w:p>
        </w:tc>
        <w:tc>
          <w:tcPr>
            <w:tcW w:w="1623" w:type="dxa"/>
            <w:vAlign w:val="center"/>
          </w:tcPr>
          <w:p w14:paraId="7F450969"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170.111</w:t>
            </w:r>
          </w:p>
        </w:tc>
        <w:tc>
          <w:tcPr>
            <w:tcW w:w="2074" w:type="dxa"/>
            <w:vAlign w:val="center"/>
          </w:tcPr>
          <w:p w14:paraId="1686FCB4"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123.324</w:t>
            </w:r>
          </w:p>
        </w:tc>
      </w:tr>
      <w:tr w:rsidR="00D47A7E" w:rsidRPr="00580A46" w14:paraId="28B73358" w14:textId="77777777" w:rsidTr="003F4366">
        <w:trPr>
          <w:jc w:val="center"/>
        </w:trPr>
        <w:tc>
          <w:tcPr>
            <w:tcW w:w="715" w:type="dxa"/>
            <w:vAlign w:val="center"/>
          </w:tcPr>
          <w:p w14:paraId="3B2F8B67" w14:textId="77777777" w:rsidR="00D47A7E" w:rsidRPr="00580A46" w:rsidRDefault="00D47A7E" w:rsidP="003F4366">
            <w:pPr>
              <w:spacing w:line="276" w:lineRule="auto"/>
              <w:jc w:val="both"/>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2020</w:t>
            </w:r>
          </w:p>
        </w:tc>
        <w:tc>
          <w:tcPr>
            <w:tcW w:w="1800" w:type="dxa"/>
            <w:vAlign w:val="center"/>
          </w:tcPr>
          <w:p w14:paraId="2A03C7A9"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162.906</w:t>
            </w:r>
          </w:p>
        </w:tc>
        <w:tc>
          <w:tcPr>
            <w:tcW w:w="1623" w:type="dxa"/>
            <w:vAlign w:val="center"/>
          </w:tcPr>
          <w:p w14:paraId="6E0F5EAE"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175.705</w:t>
            </w:r>
          </w:p>
        </w:tc>
        <w:tc>
          <w:tcPr>
            <w:tcW w:w="2074" w:type="dxa"/>
            <w:vAlign w:val="center"/>
          </w:tcPr>
          <w:p w14:paraId="5EB03391"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161.771</w:t>
            </w:r>
          </w:p>
        </w:tc>
      </w:tr>
      <w:tr w:rsidR="00D47A7E" w:rsidRPr="00580A46" w14:paraId="2DD47A75" w14:textId="77777777" w:rsidTr="003F4366">
        <w:trPr>
          <w:jc w:val="center"/>
        </w:trPr>
        <w:tc>
          <w:tcPr>
            <w:tcW w:w="715" w:type="dxa"/>
            <w:vAlign w:val="center"/>
          </w:tcPr>
          <w:p w14:paraId="17397F81" w14:textId="77777777" w:rsidR="00D47A7E" w:rsidRPr="00580A46" w:rsidRDefault="00D47A7E" w:rsidP="003F4366">
            <w:pPr>
              <w:spacing w:line="276" w:lineRule="auto"/>
              <w:jc w:val="both"/>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2021</w:t>
            </w:r>
            <w:r w:rsidRPr="00E6654C">
              <w:rPr>
                <w:rFonts w:ascii="Calibri" w:eastAsia="Calibri" w:hAnsi="Calibri" w:cs="Times New Roman"/>
                <w:color w:val="595959" w:themeColor="text1" w:themeTint="A6"/>
                <w:sz w:val="18"/>
                <w:szCs w:val="18"/>
                <w:vertAlign w:val="superscript"/>
              </w:rPr>
              <w:t>#</w:t>
            </w:r>
          </w:p>
        </w:tc>
        <w:tc>
          <w:tcPr>
            <w:tcW w:w="1800" w:type="dxa"/>
            <w:vAlign w:val="center"/>
          </w:tcPr>
          <w:p w14:paraId="13DD24C0"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163.872</w:t>
            </w:r>
          </w:p>
        </w:tc>
        <w:tc>
          <w:tcPr>
            <w:tcW w:w="1623" w:type="dxa"/>
            <w:vAlign w:val="center"/>
          </w:tcPr>
          <w:p w14:paraId="25D785A9"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191.062</w:t>
            </w:r>
          </w:p>
        </w:tc>
        <w:tc>
          <w:tcPr>
            <w:tcW w:w="2074" w:type="dxa"/>
            <w:vAlign w:val="center"/>
          </w:tcPr>
          <w:p w14:paraId="582F68CE" w14:textId="77777777" w:rsidR="00D47A7E" w:rsidRPr="00580A46" w:rsidRDefault="00D47A7E" w:rsidP="003F4366">
            <w:pPr>
              <w:spacing w:line="276" w:lineRule="auto"/>
              <w:jc w:val="center"/>
              <w:rPr>
                <w:rFonts w:ascii="Calibri" w:eastAsia="Calibri" w:hAnsi="Calibri" w:cs="Times New Roman"/>
                <w:color w:val="595959" w:themeColor="text1" w:themeTint="A6"/>
                <w:sz w:val="18"/>
                <w:szCs w:val="18"/>
              </w:rPr>
            </w:pPr>
            <w:r>
              <w:rPr>
                <w:rFonts w:ascii="Calibri" w:eastAsia="Calibri" w:hAnsi="Calibri" w:cs="Times New Roman"/>
                <w:color w:val="595959" w:themeColor="text1" w:themeTint="A6"/>
                <w:sz w:val="18"/>
                <w:szCs w:val="18"/>
              </w:rPr>
              <w:t>201.375</w:t>
            </w:r>
          </w:p>
        </w:tc>
      </w:tr>
    </w:tbl>
    <w:p w14:paraId="4B6AA941" w14:textId="77777777" w:rsidR="00D47A7E" w:rsidRDefault="00D47A7E" w:rsidP="00D47A7E">
      <w:pPr>
        <w:spacing w:after="0" w:line="276" w:lineRule="auto"/>
        <w:ind w:left="1170"/>
        <w:jc w:val="both"/>
        <w:rPr>
          <w:rFonts w:ascii="Calibri" w:eastAsia="Calibri" w:hAnsi="Calibri" w:cs="Times New Roman"/>
          <w:color w:val="595959" w:themeColor="text1" w:themeTint="A6"/>
          <w:sz w:val="18"/>
          <w:szCs w:val="18"/>
        </w:rPr>
      </w:pPr>
      <w:r w:rsidRPr="00E6654C">
        <w:rPr>
          <w:rFonts w:ascii="Calibri" w:eastAsia="Calibri" w:hAnsi="Calibri" w:cs="Times New Roman"/>
          <w:color w:val="595959" w:themeColor="text1" w:themeTint="A6"/>
          <w:vertAlign w:val="superscript"/>
        </w:rPr>
        <w:t>#</w:t>
      </w:r>
      <w:r>
        <w:rPr>
          <w:rFonts w:ascii="Calibri" w:eastAsia="Calibri" w:hAnsi="Calibri" w:cs="Times New Roman"/>
          <w:color w:val="595959" w:themeColor="text1" w:themeTint="A6"/>
        </w:rPr>
        <w:t xml:space="preserve"> </w:t>
      </w:r>
      <w:r w:rsidRPr="00E6654C">
        <w:rPr>
          <w:rFonts w:ascii="Calibri" w:eastAsia="Calibri" w:hAnsi="Calibri" w:cs="Times New Roman"/>
          <w:color w:val="595959" w:themeColor="text1" w:themeTint="A6"/>
          <w:sz w:val="18"/>
          <w:szCs w:val="18"/>
        </w:rPr>
        <w:t>Δεν περιλαμβάνονται τα στοιχεία Δεκεμβρίου 2021.</w:t>
      </w:r>
    </w:p>
    <w:p w14:paraId="55EBF8C8" w14:textId="77777777" w:rsidR="00D47A7E" w:rsidRPr="009D1160" w:rsidRDefault="00D47A7E" w:rsidP="00D47A7E">
      <w:pPr>
        <w:spacing w:after="0" w:line="276" w:lineRule="auto"/>
        <w:ind w:left="1170"/>
        <w:jc w:val="both"/>
        <w:rPr>
          <w:rFonts w:ascii="Calibri" w:eastAsia="Calibri" w:hAnsi="Calibri" w:cs="Times New Roman"/>
          <w:color w:val="595959" w:themeColor="text1" w:themeTint="A6"/>
        </w:rPr>
      </w:pPr>
    </w:p>
    <w:p w14:paraId="58B3E626" w14:textId="77777777" w:rsidR="00D47A7E" w:rsidRPr="00575A7E" w:rsidRDefault="00D47A7E" w:rsidP="00D47A7E">
      <w:pPr>
        <w:pStyle w:val="Heading2"/>
        <w:spacing w:before="0" w:line="276" w:lineRule="auto"/>
        <w:rPr>
          <w:rFonts w:eastAsia="Times New Roman"/>
        </w:rPr>
      </w:pPr>
      <w:bookmarkStart w:id="176" w:name="_Toc40706008"/>
      <w:bookmarkStart w:id="177" w:name="_Toc55711939"/>
      <w:bookmarkStart w:id="178" w:name="_Toc67307446"/>
      <w:bookmarkStart w:id="179" w:name="_Toc98160540"/>
      <w:r w:rsidRPr="00575A7E">
        <w:rPr>
          <w:rFonts w:eastAsia="Times New Roman"/>
        </w:rPr>
        <w:t xml:space="preserve">3.2. </w:t>
      </w:r>
      <w:bookmarkStart w:id="180" w:name="_Toc55711940"/>
      <w:bookmarkEnd w:id="176"/>
      <w:bookmarkEnd w:id="177"/>
      <w:r w:rsidRPr="00575A7E">
        <w:rPr>
          <w:rFonts w:eastAsia="Times New Roman"/>
        </w:rPr>
        <w:t>Κοινωνική πρόνοια</w:t>
      </w:r>
      <w:bookmarkEnd w:id="178"/>
      <w:bookmarkEnd w:id="179"/>
      <w:bookmarkEnd w:id="180"/>
      <w:r w:rsidRPr="00575A7E">
        <w:rPr>
          <w:rFonts w:eastAsia="Times New Roman"/>
        </w:rPr>
        <w:t xml:space="preserve"> </w:t>
      </w:r>
    </w:p>
    <w:p w14:paraId="08912350" w14:textId="77777777" w:rsidR="00D47A7E" w:rsidRPr="00575A7E" w:rsidRDefault="00D47A7E" w:rsidP="00D47A7E">
      <w:pPr>
        <w:spacing w:after="0" w:line="276" w:lineRule="auto"/>
        <w:jc w:val="both"/>
        <w:rPr>
          <w:rFonts w:ascii="Calibri" w:eastAsia="Calibri" w:hAnsi="Calibri" w:cs="Times New Roman"/>
          <w:color w:val="C45911" w:themeColor="accent2" w:themeShade="BF"/>
        </w:rPr>
      </w:pPr>
    </w:p>
    <w:p w14:paraId="43046FEE" w14:textId="77777777" w:rsidR="00D47A7E" w:rsidRDefault="00D47A7E" w:rsidP="00D47A7E">
      <w:pPr>
        <w:spacing w:after="0" w:line="276" w:lineRule="auto"/>
        <w:jc w:val="both"/>
        <w:rPr>
          <w:color w:val="595959" w:themeColor="text1" w:themeTint="A6"/>
        </w:rPr>
      </w:pPr>
      <w:r>
        <w:rPr>
          <w:color w:val="595959" w:themeColor="text1" w:themeTint="A6"/>
        </w:rPr>
        <w:t xml:space="preserve">Ο </w:t>
      </w:r>
      <w:r w:rsidRPr="00575A7E">
        <w:rPr>
          <w:color w:val="595959" w:themeColor="text1" w:themeTint="A6"/>
        </w:rPr>
        <w:t>Οργανισμός Προνοιακών Επιδομάτων Κοινωνι</w:t>
      </w:r>
      <w:r>
        <w:rPr>
          <w:color w:val="595959" w:themeColor="text1" w:themeTint="A6"/>
        </w:rPr>
        <w:t>κής Αλληλεγγύης (ΟΠΕΚΑ), το 2021</w:t>
      </w:r>
      <w:r w:rsidRPr="00575A7E">
        <w:rPr>
          <w:color w:val="595959" w:themeColor="text1" w:themeTint="A6"/>
        </w:rPr>
        <w:t xml:space="preserve"> (μέχρι και τον Δεκέμβριο), έχει καταβάλει</w:t>
      </w:r>
      <w:r w:rsidRPr="00575A7E">
        <w:rPr>
          <w:color w:val="595959" w:themeColor="text1" w:themeTint="A6"/>
          <w:vertAlign w:val="superscript"/>
        </w:rPr>
        <w:footnoteReference w:id="15"/>
      </w:r>
      <w:r>
        <w:rPr>
          <w:color w:val="595959" w:themeColor="text1" w:themeTint="A6"/>
        </w:rPr>
        <w:t xml:space="preserve"> σχεδόν 3,5</w:t>
      </w:r>
      <w:r w:rsidRPr="00575A7E">
        <w:rPr>
          <w:color w:val="595959" w:themeColor="text1" w:themeTint="A6"/>
        </w:rPr>
        <w:t xml:space="preserve"> δις ευρώ. </w:t>
      </w:r>
    </w:p>
    <w:p w14:paraId="1C46DC53" w14:textId="77777777" w:rsidR="00D47A7E" w:rsidRPr="00FC4704" w:rsidRDefault="00D47A7E" w:rsidP="00D47A7E">
      <w:pPr>
        <w:spacing w:after="0" w:line="276" w:lineRule="auto"/>
        <w:jc w:val="both"/>
        <w:rPr>
          <w:color w:val="595959" w:themeColor="text1" w:themeTint="A6"/>
        </w:rPr>
      </w:pPr>
    </w:p>
    <w:p w14:paraId="657F0DFA" w14:textId="77777777" w:rsidR="00D47A7E" w:rsidRDefault="00D47A7E" w:rsidP="00D47A7E">
      <w:pPr>
        <w:pStyle w:val="Caption"/>
        <w:keepNext/>
        <w:jc w:val="center"/>
      </w:pPr>
      <w:bookmarkStart w:id="181" w:name="_Toc98160555"/>
      <w:r>
        <w:t xml:space="preserve">Πίνακας </w:t>
      </w:r>
      <w:r w:rsidR="009B7AD0">
        <w:rPr>
          <w:noProof/>
        </w:rPr>
        <w:fldChar w:fldCharType="begin"/>
      </w:r>
      <w:r>
        <w:rPr>
          <w:noProof/>
        </w:rPr>
        <w:instrText xml:space="preserve"> SEQ Πίνακας \* ARABIC </w:instrText>
      </w:r>
      <w:r w:rsidR="009B7AD0">
        <w:rPr>
          <w:noProof/>
        </w:rPr>
        <w:fldChar w:fldCharType="separate"/>
      </w:r>
      <w:r w:rsidR="003B23C4">
        <w:rPr>
          <w:noProof/>
        </w:rPr>
        <w:t>12</w:t>
      </w:r>
      <w:r w:rsidR="009B7AD0">
        <w:rPr>
          <w:noProof/>
        </w:rPr>
        <w:fldChar w:fldCharType="end"/>
      </w:r>
      <w:r w:rsidRPr="00C32ED6">
        <w:t xml:space="preserve"> </w:t>
      </w:r>
      <w:r w:rsidRPr="00FC4704">
        <w:t>Δαπάνη καταβολής επιδομάτων ΟΠΕΚΑ, Ιανουάριος – Δεκέμβριος 2021, σε ευρώ</w:t>
      </w:r>
      <w:bookmarkEnd w:id="181"/>
    </w:p>
    <w:tbl>
      <w:tblPr>
        <w:tblW w:w="8364" w:type="dxa"/>
        <w:jc w:val="center"/>
        <w:tblLayout w:type="fixed"/>
        <w:tblLook w:val="04A0" w:firstRow="1" w:lastRow="0" w:firstColumn="1" w:lastColumn="0" w:noHBand="0" w:noVBand="1"/>
      </w:tblPr>
      <w:tblGrid>
        <w:gridCol w:w="1276"/>
        <w:gridCol w:w="992"/>
        <w:gridCol w:w="993"/>
        <w:gridCol w:w="992"/>
        <w:gridCol w:w="946"/>
        <w:gridCol w:w="149"/>
        <w:gridCol w:w="1031"/>
        <w:gridCol w:w="992"/>
        <w:gridCol w:w="993"/>
      </w:tblGrid>
      <w:tr w:rsidR="00D47A7E" w:rsidRPr="009B0549" w14:paraId="1D1130F1" w14:textId="77777777" w:rsidTr="003F4366">
        <w:trPr>
          <w:trHeight w:val="300"/>
          <w:jc w:val="center"/>
        </w:trPr>
        <w:tc>
          <w:tcPr>
            <w:tcW w:w="1276" w:type="dxa"/>
            <w:tcBorders>
              <w:top w:val="nil"/>
              <w:left w:val="nil"/>
              <w:bottom w:val="single" w:sz="4" w:space="0" w:color="auto"/>
              <w:right w:val="nil"/>
            </w:tcBorders>
            <w:vAlign w:val="center"/>
            <w:hideMark/>
          </w:tcPr>
          <w:p w14:paraId="56482801" w14:textId="77777777" w:rsidR="00D47A7E" w:rsidRPr="00DD1444" w:rsidRDefault="00D47A7E" w:rsidP="003F4366">
            <w:pPr>
              <w:spacing w:after="200" w:line="276" w:lineRule="auto"/>
              <w:jc w:val="center"/>
              <w:rPr>
                <w:color w:val="595959" w:themeColor="text1" w:themeTint="A6"/>
                <w:sz w:val="16"/>
                <w:szCs w:val="16"/>
              </w:rPr>
            </w:pPr>
          </w:p>
        </w:tc>
        <w:tc>
          <w:tcPr>
            <w:tcW w:w="992" w:type="dxa"/>
            <w:tcBorders>
              <w:top w:val="nil"/>
              <w:left w:val="nil"/>
              <w:bottom w:val="single" w:sz="4" w:space="0" w:color="auto"/>
              <w:right w:val="nil"/>
            </w:tcBorders>
            <w:noWrap/>
            <w:vAlign w:val="center"/>
          </w:tcPr>
          <w:p w14:paraId="293395B1" w14:textId="77777777" w:rsidR="00D47A7E" w:rsidRPr="006060FE" w:rsidRDefault="00D47A7E" w:rsidP="003F4366">
            <w:pPr>
              <w:spacing w:after="0" w:line="276" w:lineRule="auto"/>
              <w:ind w:left="70"/>
              <w:jc w:val="center"/>
              <w:rPr>
                <w:rFonts w:ascii="Calibri" w:eastAsia="Times New Roman" w:hAnsi="Calibri" w:cs="Times New Roman"/>
                <w:bCs/>
                <w:color w:val="595959" w:themeColor="text1" w:themeTint="A6"/>
                <w:sz w:val="14"/>
                <w:szCs w:val="14"/>
                <w:lang w:eastAsia="el-GR"/>
              </w:rPr>
            </w:pPr>
            <w:r w:rsidRPr="006060FE">
              <w:rPr>
                <w:rFonts w:ascii="Calibri" w:eastAsia="Times New Roman" w:hAnsi="Calibri" w:cs="Times New Roman"/>
                <w:bCs/>
                <w:color w:val="595959" w:themeColor="text1" w:themeTint="A6"/>
                <w:sz w:val="14"/>
                <w:szCs w:val="14"/>
                <w:lang w:eastAsia="el-GR"/>
              </w:rPr>
              <w:t>1</w:t>
            </w:r>
            <w:r w:rsidRPr="006060FE">
              <w:rPr>
                <w:rFonts w:ascii="Calibri" w:eastAsia="Times New Roman" w:hAnsi="Calibri" w:cs="Times New Roman"/>
                <w:bCs/>
                <w:color w:val="595959" w:themeColor="text1" w:themeTint="A6"/>
                <w:sz w:val="14"/>
                <w:szCs w:val="14"/>
                <w:vertAlign w:val="superscript"/>
                <w:lang w:eastAsia="el-GR"/>
              </w:rPr>
              <w:t>ο</w:t>
            </w:r>
            <w:r w:rsidRPr="006060FE">
              <w:rPr>
                <w:rFonts w:ascii="Calibri" w:eastAsia="Times New Roman" w:hAnsi="Calibri" w:cs="Times New Roman"/>
                <w:bCs/>
                <w:color w:val="595959" w:themeColor="text1" w:themeTint="A6"/>
                <w:sz w:val="14"/>
                <w:szCs w:val="14"/>
                <w:lang w:eastAsia="el-GR"/>
              </w:rPr>
              <w:t xml:space="preserve"> Τρίμηνο</w:t>
            </w:r>
          </w:p>
        </w:tc>
        <w:tc>
          <w:tcPr>
            <w:tcW w:w="993" w:type="dxa"/>
            <w:tcBorders>
              <w:top w:val="nil"/>
              <w:left w:val="nil"/>
              <w:bottom w:val="single" w:sz="4" w:space="0" w:color="auto"/>
              <w:right w:val="nil"/>
            </w:tcBorders>
            <w:vAlign w:val="center"/>
          </w:tcPr>
          <w:p w14:paraId="3B026D49" w14:textId="77777777" w:rsidR="00D47A7E" w:rsidRPr="006060FE" w:rsidRDefault="00D47A7E" w:rsidP="003F4366">
            <w:pPr>
              <w:spacing w:after="0" w:line="276" w:lineRule="auto"/>
              <w:ind w:left="-262" w:right="-139"/>
              <w:jc w:val="center"/>
              <w:rPr>
                <w:rFonts w:ascii="Calibri" w:eastAsia="Times New Roman" w:hAnsi="Calibri" w:cs="Times New Roman"/>
                <w:bCs/>
                <w:color w:val="595959" w:themeColor="text1" w:themeTint="A6"/>
                <w:sz w:val="14"/>
                <w:szCs w:val="14"/>
                <w:lang w:eastAsia="el-GR"/>
              </w:rPr>
            </w:pPr>
            <w:r w:rsidRPr="006060FE">
              <w:rPr>
                <w:rFonts w:ascii="Calibri" w:eastAsia="Times New Roman" w:hAnsi="Calibri" w:cs="Times New Roman"/>
                <w:bCs/>
                <w:color w:val="595959" w:themeColor="text1" w:themeTint="A6"/>
                <w:sz w:val="14"/>
                <w:szCs w:val="14"/>
                <w:lang w:eastAsia="el-GR"/>
              </w:rPr>
              <w:t>2</w:t>
            </w:r>
            <w:r w:rsidRPr="006060FE">
              <w:rPr>
                <w:rFonts w:ascii="Calibri" w:eastAsia="Times New Roman" w:hAnsi="Calibri" w:cs="Times New Roman"/>
                <w:bCs/>
                <w:color w:val="595959" w:themeColor="text1" w:themeTint="A6"/>
                <w:sz w:val="14"/>
                <w:szCs w:val="14"/>
                <w:vertAlign w:val="superscript"/>
                <w:lang w:eastAsia="el-GR"/>
              </w:rPr>
              <w:t>ο</w:t>
            </w:r>
            <w:r w:rsidRPr="006060FE">
              <w:rPr>
                <w:rFonts w:ascii="Calibri" w:eastAsia="Times New Roman" w:hAnsi="Calibri" w:cs="Times New Roman"/>
                <w:bCs/>
                <w:color w:val="595959" w:themeColor="text1" w:themeTint="A6"/>
                <w:sz w:val="14"/>
                <w:szCs w:val="14"/>
                <w:lang w:eastAsia="el-GR"/>
              </w:rPr>
              <w:t xml:space="preserve"> Τρίμηνο</w:t>
            </w:r>
          </w:p>
        </w:tc>
        <w:tc>
          <w:tcPr>
            <w:tcW w:w="992" w:type="dxa"/>
            <w:tcBorders>
              <w:top w:val="nil"/>
              <w:left w:val="nil"/>
              <w:bottom w:val="single" w:sz="4" w:space="0" w:color="auto"/>
              <w:right w:val="nil"/>
            </w:tcBorders>
            <w:vAlign w:val="center"/>
          </w:tcPr>
          <w:p w14:paraId="67275605" w14:textId="77777777" w:rsidR="00D47A7E" w:rsidRPr="006060FE" w:rsidRDefault="00D47A7E" w:rsidP="003F4366">
            <w:pPr>
              <w:spacing w:after="0" w:line="276" w:lineRule="auto"/>
              <w:ind w:right="-136"/>
              <w:jc w:val="center"/>
              <w:rPr>
                <w:rFonts w:ascii="Calibri" w:eastAsia="Times New Roman" w:hAnsi="Calibri" w:cs="Times New Roman"/>
                <w:bCs/>
                <w:color w:val="595959" w:themeColor="text1" w:themeTint="A6"/>
                <w:sz w:val="14"/>
                <w:szCs w:val="14"/>
                <w:lang w:val="en-US" w:eastAsia="el-GR"/>
              </w:rPr>
            </w:pPr>
            <w:r w:rsidRPr="006060FE">
              <w:rPr>
                <w:rFonts w:ascii="Calibri" w:eastAsia="Times New Roman" w:hAnsi="Calibri" w:cs="Times New Roman"/>
                <w:bCs/>
                <w:color w:val="595959" w:themeColor="text1" w:themeTint="A6"/>
                <w:sz w:val="14"/>
                <w:szCs w:val="14"/>
                <w:lang w:eastAsia="el-GR"/>
              </w:rPr>
              <w:t>3</w:t>
            </w:r>
            <w:r w:rsidRPr="006060FE">
              <w:rPr>
                <w:rFonts w:ascii="Calibri" w:eastAsia="Times New Roman" w:hAnsi="Calibri" w:cs="Times New Roman"/>
                <w:bCs/>
                <w:color w:val="595959" w:themeColor="text1" w:themeTint="A6"/>
                <w:sz w:val="14"/>
                <w:szCs w:val="14"/>
                <w:vertAlign w:val="superscript"/>
                <w:lang w:eastAsia="el-GR"/>
              </w:rPr>
              <w:t>ο</w:t>
            </w:r>
            <w:r w:rsidRPr="006060FE">
              <w:rPr>
                <w:rFonts w:ascii="Calibri" w:eastAsia="Times New Roman" w:hAnsi="Calibri" w:cs="Times New Roman"/>
                <w:bCs/>
                <w:color w:val="595959" w:themeColor="text1" w:themeTint="A6"/>
                <w:sz w:val="14"/>
                <w:szCs w:val="14"/>
                <w:lang w:eastAsia="el-GR"/>
              </w:rPr>
              <w:t xml:space="preserve"> Τρίμηνο</w:t>
            </w:r>
          </w:p>
        </w:tc>
        <w:tc>
          <w:tcPr>
            <w:tcW w:w="946" w:type="dxa"/>
            <w:tcBorders>
              <w:top w:val="nil"/>
              <w:left w:val="nil"/>
              <w:bottom w:val="single" w:sz="4" w:space="0" w:color="auto"/>
              <w:right w:val="nil"/>
            </w:tcBorders>
            <w:vAlign w:val="center"/>
          </w:tcPr>
          <w:p w14:paraId="6B1BE91D" w14:textId="77777777" w:rsidR="00D47A7E" w:rsidRPr="006060FE" w:rsidRDefault="00D47A7E" w:rsidP="003F4366">
            <w:pPr>
              <w:spacing w:after="0" w:line="276" w:lineRule="auto"/>
              <w:jc w:val="center"/>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bCs/>
                <w:color w:val="595959" w:themeColor="text1" w:themeTint="A6"/>
                <w:sz w:val="14"/>
                <w:szCs w:val="14"/>
                <w:lang w:eastAsia="el-GR"/>
              </w:rPr>
              <w:t>4</w:t>
            </w:r>
            <w:r w:rsidRPr="006060FE">
              <w:rPr>
                <w:rFonts w:ascii="Calibri" w:eastAsia="Times New Roman" w:hAnsi="Calibri" w:cs="Times New Roman"/>
                <w:bCs/>
                <w:color w:val="595959" w:themeColor="text1" w:themeTint="A6"/>
                <w:sz w:val="14"/>
                <w:szCs w:val="14"/>
                <w:vertAlign w:val="superscript"/>
                <w:lang w:eastAsia="el-GR"/>
              </w:rPr>
              <w:t>ο</w:t>
            </w:r>
            <w:r w:rsidRPr="006060FE">
              <w:rPr>
                <w:rFonts w:ascii="Calibri" w:eastAsia="Times New Roman" w:hAnsi="Calibri" w:cs="Times New Roman"/>
                <w:bCs/>
                <w:color w:val="595959" w:themeColor="text1" w:themeTint="A6"/>
                <w:sz w:val="14"/>
                <w:szCs w:val="14"/>
                <w:lang w:eastAsia="el-GR"/>
              </w:rPr>
              <w:t xml:space="preserve"> Τρίμηνο</w:t>
            </w:r>
          </w:p>
        </w:tc>
        <w:tc>
          <w:tcPr>
            <w:tcW w:w="1180" w:type="dxa"/>
            <w:gridSpan w:val="2"/>
            <w:tcBorders>
              <w:top w:val="nil"/>
              <w:left w:val="nil"/>
              <w:bottom w:val="single" w:sz="4" w:space="0" w:color="auto"/>
              <w:right w:val="nil"/>
            </w:tcBorders>
            <w:noWrap/>
            <w:vAlign w:val="center"/>
            <w:hideMark/>
          </w:tcPr>
          <w:p w14:paraId="28CADB92" w14:textId="77777777" w:rsidR="00D47A7E" w:rsidRPr="006060FE" w:rsidRDefault="00D47A7E" w:rsidP="003F4366">
            <w:pPr>
              <w:spacing w:after="0" w:line="276" w:lineRule="auto"/>
              <w:jc w:val="center"/>
              <w:rPr>
                <w:rFonts w:ascii="Calibri" w:eastAsia="Times New Roman" w:hAnsi="Calibri" w:cs="Times New Roman"/>
                <w:color w:val="595959" w:themeColor="text1" w:themeTint="A6"/>
                <w:sz w:val="14"/>
                <w:szCs w:val="14"/>
                <w:lang w:val="en-US" w:eastAsia="el-GR"/>
              </w:rPr>
            </w:pPr>
            <w:r w:rsidRPr="006060FE">
              <w:rPr>
                <w:rFonts w:ascii="Calibri" w:eastAsia="Times New Roman" w:hAnsi="Calibri" w:cs="Times New Roman"/>
                <w:color w:val="595959" w:themeColor="text1" w:themeTint="A6"/>
                <w:sz w:val="14"/>
                <w:szCs w:val="14"/>
                <w:lang w:val="en-US" w:eastAsia="el-GR"/>
              </w:rPr>
              <w:t>2021</w:t>
            </w:r>
          </w:p>
        </w:tc>
        <w:tc>
          <w:tcPr>
            <w:tcW w:w="992" w:type="dxa"/>
            <w:tcBorders>
              <w:top w:val="nil"/>
              <w:left w:val="nil"/>
              <w:bottom w:val="single" w:sz="4" w:space="0" w:color="auto"/>
              <w:right w:val="nil"/>
            </w:tcBorders>
            <w:vAlign w:val="center"/>
          </w:tcPr>
          <w:p w14:paraId="09564862" w14:textId="77777777" w:rsidR="00D47A7E" w:rsidRPr="006060FE" w:rsidRDefault="00D47A7E" w:rsidP="003F4366">
            <w:pPr>
              <w:spacing w:after="0" w:line="276" w:lineRule="auto"/>
              <w:jc w:val="center"/>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2020</w:t>
            </w:r>
          </w:p>
        </w:tc>
        <w:tc>
          <w:tcPr>
            <w:tcW w:w="993" w:type="dxa"/>
            <w:tcBorders>
              <w:top w:val="nil"/>
              <w:left w:val="nil"/>
              <w:bottom w:val="single" w:sz="4" w:space="0" w:color="auto"/>
              <w:right w:val="nil"/>
            </w:tcBorders>
          </w:tcPr>
          <w:p w14:paraId="4E2390FF" w14:textId="77777777" w:rsidR="00D47A7E" w:rsidRPr="006060FE" w:rsidRDefault="00D47A7E" w:rsidP="003F4366">
            <w:pPr>
              <w:spacing w:after="0" w:line="276" w:lineRule="auto"/>
              <w:jc w:val="center"/>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 xml:space="preserve">ΔΙΑΦΟΡΑ </w:t>
            </w:r>
          </w:p>
          <w:p w14:paraId="457E65B9" w14:textId="77777777" w:rsidR="00D47A7E" w:rsidRDefault="00D47A7E" w:rsidP="003F4366">
            <w:pPr>
              <w:spacing w:after="0" w:line="276" w:lineRule="auto"/>
              <w:jc w:val="center"/>
              <w:rPr>
                <w:rFonts w:ascii="Calibri" w:eastAsia="Times New Roman" w:hAnsi="Calibri" w:cs="Times New Roman"/>
                <w:color w:val="595959" w:themeColor="text1" w:themeTint="A6"/>
                <w:sz w:val="16"/>
                <w:szCs w:val="16"/>
                <w:lang w:eastAsia="el-GR"/>
              </w:rPr>
            </w:pPr>
            <w:r w:rsidRPr="006060FE">
              <w:rPr>
                <w:rFonts w:ascii="Calibri" w:eastAsia="Times New Roman" w:hAnsi="Calibri" w:cs="Times New Roman"/>
                <w:color w:val="595959" w:themeColor="text1" w:themeTint="A6"/>
                <w:sz w:val="14"/>
                <w:szCs w:val="14"/>
                <w:lang w:eastAsia="el-GR"/>
              </w:rPr>
              <w:t>2021-2020</w:t>
            </w:r>
          </w:p>
        </w:tc>
      </w:tr>
      <w:tr w:rsidR="00D47A7E" w:rsidRPr="00BA6E7D" w14:paraId="0987014F" w14:textId="77777777" w:rsidTr="003F4366">
        <w:trPr>
          <w:trHeight w:val="269"/>
          <w:jc w:val="center"/>
        </w:trPr>
        <w:tc>
          <w:tcPr>
            <w:tcW w:w="1276" w:type="dxa"/>
            <w:vAlign w:val="center"/>
            <w:hideMark/>
          </w:tcPr>
          <w:p w14:paraId="378F5303" w14:textId="77777777" w:rsidR="00D47A7E" w:rsidRPr="006060FE" w:rsidRDefault="00D47A7E" w:rsidP="003F4366">
            <w:pPr>
              <w:spacing w:line="276" w:lineRule="auto"/>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Στέγασης</w:t>
            </w:r>
          </w:p>
        </w:tc>
        <w:tc>
          <w:tcPr>
            <w:tcW w:w="992" w:type="dxa"/>
            <w:noWrap/>
            <w:vAlign w:val="center"/>
          </w:tcPr>
          <w:p w14:paraId="10705C2E" w14:textId="77777777" w:rsidR="00D47A7E" w:rsidRPr="006060FE" w:rsidRDefault="00D47A7E" w:rsidP="003F4366">
            <w:pPr>
              <w:spacing w:line="276" w:lineRule="auto"/>
              <w:ind w:left="-196" w:right="141"/>
              <w:jc w:val="right"/>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97.161.970</w:t>
            </w:r>
          </w:p>
        </w:tc>
        <w:tc>
          <w:tcPr>
            <w:tcW w:w="993" w:type="dxa"/>
            <w:vAlign w:val="center"/>
          </w:tcPr>
          <w:p w14:paraId="418D0C21" w14:textId="77777777" w:rsidR="00D47A7E" w:rsidRPr="006060FE" w:rsidRDefault="00D47A7E" w:rsidP="003F4366">
            <w:pPr>
              <w:spacing w:line="276" w:lineRule="auto"/>
              <w:ind w:left="-199"/>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98.887.510</w:t>
            </w:r>
          </w:p>
        </w:tc>
        <w:tc>
          <w:tcPr>
            <w:tcW w:w="992" w:type="dxa"/>
            <w:shd w:val="clear" w:color="auto" w:fill="auto"/>
            <w:vAlign w:val="center"/>
          </w:tcPr>
          <w:p w14:paraId="5B172966" w14:textId="77777777" w:rsidR="00D47A7E" w:rsidRPr="006060FE" w:rsidRDefault="00D47A7E" w:rsidP="003F4366">
            <w:pPr>
              <w:spacing w:line="276" w:lineRule="auto"/>
              <w:ind w:left="-107"/>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91.574.045</w:t>
            </w:r>
          </w:p>
        </w:tc>
        <w:tc>
          <w:tcPr>
            <w:tcW w:w="946" w:type="dxa"/>
            <w:vAlign w:val="center"/>
          </w:tcPr>
          <w:p w14:paraId="229C1EF9" w14:textId="77777777" w:rsidR="00D47A7E" w:rsidRPr="00987279"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100.493.401</w:t>
            </w:r>
          </w:p>
        </w:tc>
        <w:tc>
          <w:tcPr>
            <w:tcW w:w="1180" w:type="dxa"/>
            <w:gridSpan w:val="2"/>
            <w:shd w:val="clear" w:color="auto" w:fill="auto"/>
            <w:noWrap/>
            <w:vAlign w:val="center"/>
          </w:tcPr>
          <w:p w14:paraId="5A5D0608" w14:textId="77777777" w:rsidR="00D47A7E" w:rsidRPr="00480CCC"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388.116.926</w:t>
            </w:r>
          </w:p>
        </w:tc>
        <w:tc>
          <w:tcPr>
            <w:tcW w:w="992" w:type="dxa"/>
            <w:vAlign w:val="center"/>
          </w:tcPr>
          <w:p w14:paraId="3DBD3700" w14:textId="77777777" w:rsidR="00D47A7E" w:rsidRPr="006060FE" w:rsidRDefault="00D47A7E" w:rsidP="003F4366">
            <w:pPr>
              <w:spacing w:line="276" w:lineRule="auto"/>
              <w:ind w:left="-105"/>
              <w:jc w:val="center"/>
              <w:rPr>
                <w:rFonts w:ascii="Calibri" w:eastAsia="Times New Roman" w:hAnsi="Calibri" w:cs="Times New Roman"/>
                <w:color w:val="595959" w:themeColor="text1" w:themeTint="A6"/>
                <w:sz w:val="14"/>
                <w:szCs w:val="14"/>
                <w:lang w:val="en-US" w:eastAsia="el-GR"/>
              </w:rPr>
            </w:pPr>
            <w:r w:rsidRPr="006060FE">
              <w:rPr>
                <w:rFonts w:ascii="Calibri" w:eastAsia="Times New Roman" w:hAnsi="Calibri" w:cs="Times New Roman"/>
                <w:color w:val="595959" w:themeColor="text1" w:themeTint="A6"/>
                <w:sz w:val="14"/>
                <w:szCs w:val="14"/>
                <w:lang w:val="en-US" w:eastAsia="el-GR"/>
              </w:rPr>
              <w:t>353.068.452</w:t>
            </w:r>
          </w:p>
        </w:tc>
        <w:tc>
          <w:tcPr>
            <w:tcW w:w="993" w:type="dxa"/>
          </w:tcPr>
          <w:p w14:paraId="1EF3C987" w14:textId="77777777" w:rsidR="00D47A7E" w:rsidRPr="00BA6E7D" w:rsidRDefault="00D47A7E" w:rsidP="003F4366">
            <w:pPr>
              <w:spacing w:line="276" w:lineRule="auto"/>
              <w:ind w:right="-108" w:hanging="46"/>
              <w:jc w:val="center"/>
              <w:rPr>
                <w:rFonts w:ascii="Calibri" w:eastAsia="Times New Roman" w:hAnsi="Calibri" w:cs="Times New Roman"/>
                <w:color w:val="595959" w:themeColor="text1" w:themeTint="A6"/>
                <w:sz w:val="14"/>
                <w:szCs w:val="14"/>
                <w:lang w:eastAsia="el-GR"/>
              </w:rPr>
            </w:pPr>
            <w:r w:rsidRPr="00BA6E7D">
              <w:rPr>
                <w:rFonts w:ascii="Calibri" w:eastAsia="Times New Roman" w:hAnsi="Calibri" w:cs="Times New Roman"/>
                <w:color w:val="595959" w:themeColor="text1" w:themeTint="A6"/>
                <w:sz w:val="14"/>
                <w:szCs w:val="14"/>
                <w:lang w:eastAsia="el-GR"/>
              </w:rPr>
              <w:t>35.048.474</w:t>
            </w:r>
          </w:p>
        </w:tc>
      </w:tr>
      <w:tr w:rsidR="00D47A7E" w:rsidRPr="00BA6E7D" w14:paraId="730C2C17" w14:textId="77777777" w:rsidTr="003F4366">
        <w:trPr>
          <w:trHeight w:val="480"/>
          <w:jc w:val="center"/>
        </w:trPr>
        <w:tc>
          <w:tcPr>
            <w:tcW w:w="1276" w:type="dxa"/>
            <w:vAlign w:val="center"/>
            <w:hideMark/>
          </w:tcPr>
          <w:p w14:paraId="1B49EF32" w14:textId="77777777" w:rsidR="00D47A7E" w:rsidRPr="006060FE" w:rsidRDefault="00D47A7E" w:rsidP="003F4366">
            <w:pPr>
              <w:spacing w:line="276" w:lineRule="auto"/>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Ελάχιστο εγγυημένο εισόδημα</w:t>
            </w:r>
          </w:p>
        </w:tc>
        <w:tc>
          <w:tcPr>
            <w:tcW w:w="992" w:type="dxa"/>
            <w:noWrap/>
            <w:vAlign w:val="center"/>
          </w:tcPr>
          <w:p w14:paraId="7E6A0D2E" w14:textId="77777777" w:rsidR="00D47A7E" w:rsidRPr="006060FE" w:rsidRDefault="00D47A7E" w:rsidP="003F4366">
            <w:pPr>
              <w:spacing w:line="276" w:lineRule="auto"/>
              <w:ind w:left="-196" w:right="141"/>
              <w:jc w:val="right"/>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174.372.010</w:t>
            </w:r>
          </w:p>
        </w:tc>
        <w:tc>
          <w:tcPr>
            <w:tcW w:w="993" w:type="dxa"/>
            <w:vAlign w:val="center"/>
          </w:tcPr>
          <w:p w14:paraId="45888A82" w14:textId="77777777" w:rsidR="00D47A7E" w:rsidRPr="00231822" w:rsidRDefault="00D47A7E" w:rsidP="003F4366">
            <w:pPr>
              <w:spacing w:line="276" w:lineRule="auto"/>
              <w:ind w:left="-199"/>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176.100.067</w:t>
            </w:r>
          </w:p>
        </w:tc>
        <w:tc>
          <w:tcPr>
            <w:tcW w:w="992" w:type="dxa"/>
            <w:shd w:val="clear" w:color="auto" w:fill="auto"/>
            <w:vAlign w:val="center"/>
          </w:tcPr>
          <w:p w14:paraId="22366D2D" w14:textId="77777777" w:rsidR="00D47A7E" w:rsidRPr="006060FE" w:rsidRDefault="00D47A7E" w:rsidP="003F4366">
            <w:pPr>
              <w:spacing w:line="276" w:lineRule="auto"/>
              <w:ind w:left="-107"/>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146.207.282</w:t>
            </w:r>
          </w:p>
        </w:tc>
        <w:tc>
          <w:tcPr>
            <w:tcW w:w="946" w:type="dxa"/>
            <w:vAlign w:val="center"/>
          </w:tcPr>
          <w:p w14:paraId="1D0729EC" w14:textId="77777777" w:rsidR="00D47A7E" w:rsidRPr="00987279"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156.826.039</w:t>
            </w:r>
          </w:p>
        </w:tc>
        <w:tc>
          <w:tcPr>
            <w:tcW w:w="1180" w:type="dxa"/>
            <w:gridSpan w:val="2"/>
            <w:shd w:val="clear" w:color="auto" w:fill="auto"/>
            <w:noWrap/>
            <w:vAlign w:val="center"/>
          </w:tcPr>
          <w:p w14:paraId="36DFFCA8" w14:textId="77777777" w:rsidR="00D47A7E" w:rsidRPr="00480CCC"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653.505.398</w:t>
            </w:r>
          </w:p>
        </w:tc>
        <w:tc>
          <w:tcPr>
            <w:tcW w:w="992" w:type="dxa"/>
            <w:vAlign w:val="center"/>
          </w:tcPr>
          <w:p w14:paraId="49EC7C2B" w14:textId="77777777" w:rsidR="00D47A7E" w:rsidRPr="006060FE" w:rsidRDefault="00D47A7E" w:rsidP="003F4366">
            <w:pPr>
              <w:spacing w:line="276" w:lineRule="auto"/>
              <w:ind w:left="-105"/>
              <w:jc w:val="center"/>
              <w:rPr>
                <w:rFonts w:ascii="Calibri" w:eastAsia="Times New Roman" w:hAnsi="Calibri" w:cs="Times New Roman"/>
                <w:color w:val="595959" w:themeColor="text1" w:themeTint="A6"/>
                <w:sz w:val="14"/>
                <w:szCs w:val="14"/>
                <w:lang w:val="en-US" w:eastAsia="el-GR"/>
              </w:rPr>
            </w:pPr>
            <w:r w:rsidRPr="006060FE">
              <w:rPr>
                <w:rFonts w:ascii="Calibri" w:eastAsia="Times New Roman" w:hAnsi="Calibri" w:cs="Times New Roman"/>
                <w:color w:val="595959" w:themeColor="text1" w:themeTint="A6"/>
                <w:sz w:val="14"/>
                <w:szCs w:val="14"/>
                <w:lang w:val="en-US" w:eastAsia="el-GR"/>
              </w:rPr>
              <w:t>674.031.923</w:t>
            </w:r>
          </w:p>
        </w:tc>
        <w:tc>
          <w:tcPr>
            <w:tcW w:w="993" w:type="dxa"/>
            <w:vAlign w:val="center"/>
          </w:tcPr>
          <w:p w14:paraId="10644DDF" w14:textId="77777777" w:rsidR="00D47A7E" w:rsidRPr="009B3BB4" w:rsidRDefault="00D47A7E" w:rsidP="003F4366">
            <w:pPr>
              <w:spacing w:line="276" w:lineRule="auto"/>
              <w:ind w:right="-108"/>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- 20.526.525</w:t>
            </w:r>
          </w:p>
        </w:tc>
      </w:tr>
      <w:tr w:rsidR="00D47A7E" w:rsidRPr="00BA6E7D" w14:paraId="4E43585F" w14:textId="77777777" w:rsidTr="003F4366">
        <w:trPr>
          <w:trHeight w:val="300"/>
          <w:jc w:val="center"/>
        </w:trPr>
        <w:tc>
          <w:tcPr>
            <w:tcW w:w="1276" w:type="dxa"/>
            <w:vAlign w:val="center"/>
            <w:hideMark/>
          </w:tcPr>
          <w:p w14:paraId="35046485" w14:textId="77777777" w:rsidR="00D47A7E" w:rsidRPr="006060FE" w:rsidRDefault="00D47A7E" w:rsidP="003F4366">
            <w:pPr>
              <w:spacing w:line="276" w:lineRule="auto"/>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Αναπηρικά</w:t>
            </w:r>
          </w:p>
        </w:tc>
        <w:tc>
          <w:tcPr>
            <w:tcW w:w="992" w:type="dxa"/>
            <w:noWrap/>
            <w:vAlign w:val="center"/>
          </w:tcPr>
          <w:p w14:paraId="04910708" w14:textId="77777777" w:rsidR="00D47A7E" w:rsidRPr="006060FE" w:rsidRDefault="00D47A7E" w:rsidP="003F4366">
            <w:pPr>
              <w:spacing w:line="276" w:lineRule="auto"/>
              <w:ind w:left="-196" w:right="141"/>
              <w:jc w:val="right"/>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208.624.892</w:t>
            </w:r>
          </w:p>
        </w:tc>
        <w:tc>
          <w:tcPr>
            <w:tcW w:w="993" w:type="dxa"/>
            <w:vAlign w:val="center"/>
          </w:tcPr>
          <w:p w14:paraId="4AC760AC" w14:textId="77777777" w:rsidR="00D47A7E" w:rsidRPr="00987279" w:rsidRDefault="00D47A7E" w:rsidP="003F4366">
            <w:pPr>
              <w:spacing w:line="276" w:lineRule="auto"/>
              <w:ind w:left="-199"/>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215.510.252</w:t>
            </w:r>
          </w:p>
        </w:tc>
        <w:tc>
          <w:tcPr>
            <w:tcW w:w="992" w:type="dxa"/>
            <w:shd w:val="clear" w:color="auto" w:fill="auto"/>
            <w:vAlign w:val="center"/>
          </w:tcPr>
          <w:p w14:paraId="5DD48B1D" w14:textId="77777777" w:rsidR="00D47A7E" w:rsidRPr="006060FE" w:rsidRDefault="00D47A7E" w:rsidP="003F4366">
            <w:pPr>
              <w:spacing w:line="276" w:lineRule="auto"/>
              <w:ind w:left="-107"/>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213.887.981</w:t>
            </w:r>
          </w:p>
        </w:tc>
        <w:tc>
          <w:tcPr>
            <w:tcW w:w="946" w:type="dxa"/>
            <w:vAlign w:val="center"/>
          </w:tcPr>
          <w:p w14:paraId="3DE9AF34" w14:textId="77777777" w:rsidR="00D47A7E" w:rsidRPr="00987279"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214.395.169</w:t>
            </w:r>
          </w:p>
        </w:tc>
        <w:tc>
          <w:tcPr>
            <w:tcW w:w="1180" w:type="dxa"/>
            <w:gridSpan w:val="2"/>
            <w:shd w:val="clear" w:color="auto" w:fill="auto"/>
            <w:noWrap/>
            <w:vAlign w:val="center"/>
          </w:tcPr>
          <w:p w14:paraId="48F3254C" w14:textId="77777777" w:rsidR="00D47A7E" w:rsidRPr="00480CCC"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852.418.294</w:t>
            </w:r>
          </w:p>
        </w:tc>
        <w:tc>
          <w:tcPr>
            <w:tcW w:w="992" w:type="dxa"/>
            <w:vAlign w:val="center"/>
          </w:tcPr>
          <w:p w14:paraId="32EAB26C" w14:textId="77777777" w:rsidR="00D47A7E" w:rsidRPr="006060FE" w:rsidRDefault="00D47A7E" w:rsidP="003F4366">
            <w:pPr>
              <w:spacing w:line="276" w:lineRule="auto"/>
              <w:ind w:left="-105"/>
              <w:jc w:val="center"/>
              <w:rPr>
                <w:rFonts w:ascii="Calibri" w:eastAsia="Times New Roman" w:hAnsi="Calibri" w:cs="Times New Roman"/>
                <w:color w:val="595959" w:themeColor="text1" w:themeTint="A6"/>
                <w:sz w:val="14"/>
                <w:szCs w:val="14"/>
                <w:lang w:val="en-US" w:eastAsia="el-GR"/>
              </w:rPr>
            </w:pPr>
            <w:r w:rsidRPr="006060FE">
              <w:rPr>
                <w:rFonts w:ascii="Calibri" w:eastAsia="Times New Roman" w:hAnsi="Calibri" w:cs="Times New Roman"/>
                <w:color w:val="595959" w:themeColor="text1" w:themeTint="A6"/>
                <w:sz w:val="14"/>
                <w:szCs w:val="14"/>
                <w:lang w:val="en-US" w:eastAsia="el-GR"/>
              </w:rPr>
              <w:t>831.735.148</w:t>
            </w:r>
          </w:p>
        </w:tc>
        <w:tc>
          <w:tcPr>
            <w:tcW w:w="993" w:type="dxa"/>
          </w:tcPr>
          <w:p w14:paraId="70CB9C98" w14:textId="77777777" w:rsidR="00D47A7E" w:rsidRPr="009B3BB4" w:rsidRDefault="00D47A7E" w:rsidP="003F4366">
            <w:pPr>
              <w:spacing w:line="276" w:lineRule="auto"/>
              <w:ind w:right="-108"/>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20.683.146</w:t>
            </w:r>
          </w:p>
        </w:tc>
      </w:tr>
      <w:tr w:rsidR="00D47A7E" w:rsidRPr="00BA6E7D" w14:paraId="394C3BF1" w14:textId="77777777" w:rsidTr="003F4366">
        <w:trPr>
          <w:trHeight w:val="300"/>
          <w:jc w:val="center"/>
        </w:trPr>
        <w:tc>
          <w:tcPr>
            <w:tcW w:w="1276" w:type="dxa"/>
            <w:vAlign w:val="center"/>
            <w:hideMark/>
          </w:tcPr>
          <w:p w14:paraId="08A216BF" w14:textId="77777777" w:rsidR="00D47A7E" w:rsidRPr="006060FE" w:rsidRDefault="00D47A7E" w:rsidP="003F4366">
            <w:pPr>
              <w:spacing w:line="276" w:lineRule="auto"/>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Ανασφάλιστοι υπερήλικες</w:t>
            </w:r>
          </w:p>
        </w:tc>
        <w:tc>
          <w:tcPr>
            <w:tcW w:w="992" w:type="dxa"/>
            <w:noWrap/>
            <w:vAlign w:val="center"/>
          </w:tcPr>
          <w:p w14:paraId="4D4F55E2" w14:textId="77777777" w:rsidR="00D47A7E" w:rsidRPr="006060FE" w:rsidRDefault="00D47A7E" w:rsidP="003F4366">
            <w:pPr>
              <w:spacing w:line="276" w:lineRule="auto"/>
              <w:ind w:left="-196" w:right="141"/>
              <w:jc w:val="right"/>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21.972.960</w:t>
            </w:r>
          </w:p>
        </w:tc>
        <w:tc>
          <w:tcPr>
            <w:tcW w:w="993" w:type="dxa"/>
            <w:vAlign w:val="center"/>
          </w:tcPr>
          <w:p w14:paraId="779E974A" w14:textId="77777777" w:rsidR="00D47A7E" w:rsidRPr="006060FE" w:rsidRDefault="00D47A7E" w:rsidP="003F4366">
            <w:pPr>
              <w:spacing w:line="276" w:lineRule="auto"/>
              <w:ind w:left="-199"/>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20.356.414</w:t>
            </w:r>
          </w:p>
        </w:tc>
        <w:tc>
          <w:tcPr>
            <w:tcW w:w="992" w:type="dxa"/>
            <w:shd w:val="clear" w:color="auto" w:fill="auto"/>
            <w:vAlign w:val="center"/>
          </w:tcPr>
          <w:p w14:paraId="1A1EEA12" w14:textId="77777777" w:rsidR="00D47A7E" w:rsidRPr="006060FE" w:rsidRDefault="00D47A7E" w:rsidP="003F4366">
            <w:pPr>
              <w:spacing w:line="276" w:lineRule="auto"/>
              <w:ind w:left="-107"/>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20.206.856</w:t>
            </w:r>
          </w:p>
        </w:tc>
        <w:tc>
          <w:tcPr>
            <w:tcW w:w="946" w:type="dxa"/>
            <w:vAlign w:val="center"/>
          </w:tcPr>
          <w:p w14:paraId="2F067581" w14:textId="77777777" w:rsidR="00D47A7E" w:rsidRPr="006060FE"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20.106.857</w:t>
            </w:r>
          </w:p>
        </w:tc>
        <w:tc>
          <w:tcPr>
            <w:tcW w:w="1180" w:type="dxa"/>
            <w:gridSpan w:val="2"/>
            <w:shd w:val="clear" w:color="auto" w:fill="auto"/>
            <w:noWrap/>
            <w:vAlign w:val="center"/>
          </w:tcPr>
          <w:p w14:paraId="25D69BD9" w14:textId="77777777" w:rsidR="00D47A7E" w:rsidRPr="006060FE"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82.643.087</w:t>
            </w:r>
          </w:p>
        </w:tc>
        <w:tc>
          <w:tcPr>
            <w:tcW w:w="992" w:type="dxa"/>
            <w:vAlign w:val="center"/>
          </w:tcPr>
          <w:p w14:paraId="3525A056" w14:textId="77777777" w:rsidR="00D47A7E" w:rsidRPr="006060FE" w:rsidRDefault="00D47A7E" w:rsidP="003F4366">
            <w:pPr>
              <w:spacing w:line="276" w:lineRule="auto"/>
              <w:ind w:left="-105"/>
              <w:jc w:val="center"/>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95.617.494</w:t>
            </w:r>
          </w:p>
        </w:tc>
        <w:tc>
          <w:tcPr>
            <w:tcW w:w="993" w:type="dxa"/>
          </w:tcPr>
          <w:p w14:paraId="7F84C82C" w14:textId="77777777" w:rsidR="00D47A7E" w:rsidRPr="009B3BB4" w:rsidRDefault="00D47A7E" w:rsidP="003F4366">
            <w:pPr>
              <w:spacing w:after="0" w:line="276" w:lineRule="auto"/>
              <w:ind w:right="-108"/>
              <w:jc w:val="center"/>
              <w:rPr>
                <w:rFonts w:ascii="Calibri" w:eastAsia="Times New Roman" w:hAnsi="Calibri" w:cs="Times New Roman"/>
                <w:color w:val="595959" w:themeColor="text1" w:themeTint="A6"/>
                <w:sz w:val="6"/>
                <w:szCs w:val="6"/>
                <w:lang w:eastAsia="el-GR"/>
              </w:rPr>
            </w:pPr>
          </w:p>
          <w:p w14:paraId="24004462" w14:textId="77777777" w:rsidR="00D47A7E" w:rsidRPr="00BA6E7D" w:rsidRDefault="00D47A7E" w:rsidP="003F4366">
            <w:pPr>
              <w:spacing w:line="276" w:lineRule="auto"/>
              <w:ind w:right="-108"/>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- 12.974.407</w:t>
            </w:r>
          </w:p>
        </w:tc>
      </w:tr>
      <w:tr w:rsidR="00D47A7E" w:rsidRPr="00BA6E7D" w14:paraId="01427359" w14:textId="77777777" w:rsidTr="003F4366">
        <w:trPr>
          <w:trHeight w:val="297"/>
          <w:jc w:val="center"/>
        </w:trPr>
        <w:tc>
          <w:tcPr>
            <w:tcW w:w="1276" w:type="dxa"/>
            <w:vAlign w:val="center"/>
            <w:hideMark/>
          </w:tcPr>
          <w:p w14:paraId="3CA46C4F" w14:textId="77777777" w:rsidR="00D47A7E" w:rsidRPr="006060FE" w:rsidRDefault="00D47A7E" w:rsidP="003F4366">
            <w:pPr>
              <w:spacing w:line="276" w:lineRule="auto"/>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Επίδομα κοινωνικής αλληλεγγύης υπερηλίκων</w:t>
            </w:r>
          </w:p>
        </w:tc>
        <w:tc>
          <w:tcPr>
            <w:tcW w:w="992" w:type="dxa"/>
            <w:noWrap/>
            <w:vAlign w:val="center"/>
          </w:tcPr>
          <w:p w14:paraId="0ADBF1C9" w14:textId="77777777" w:rsidR="00D47A7E" w:rsidRPr="006060FE" w:rsidRDefault="00D47A7E" w:rsidP="003F4366">
            <w:pPr>
              <w:spacing w:line="276" w:lineRule="auto"/>
              <w:ind w:left="-196" w:right="141"/>
              <w:jc w:val="right"/>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12.566.085</w:t>
            </w:r>
          </w:p>
        </w:tc>
        <w:tc>
          <w:tcPr>
            <w:tcW w:w="993" w:type="dxa"/>
            <w:vAlign w:val="center"/>
          </w:tcPr>
          <w:p w14:paraId="32D772C1" w14:textId="77777777" w:rsidR="00D47A7E" w:rsidRPr="00987279" w:rsidRDefault="00D47A7E" w:rsidP="003F4366">
            <w:pPr>
              <w:spacing w:line="276" w:lineRule="auto"/>
              <w:ind w:left="-199"/>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11.983.077</w:t>
            </w:r>
          </w:p>
        </w:tc>
        <w:tc>
          <w:tcPr>
            <w:tcW w:w="992" w:type="dxa"/>
            <w:shd w:val="clear" w:color="auto" w:fill="auto"/>
            <w:vAlign w:val="center"/>
          </w:tcPr>
          <w:p w14:paraId="0E5A1B93" w14:textId="77777777" w:rsidR="00D47A7E" w:rsidRPr="006060FE" w:rsidRDefault="00D47A7E" w:rsidP="003F4366">
            <w:pPr>
              <w:spacing w:line="276" w:lineRule="auto"/>
              <w:ind w:left="-107"/>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11.469.028</w:t>
            </w:r>
          </w:p>
        </w:tc>
        <w:tc>
          <w:tcPr>
            <w:tcW w:w="946" w:type="dxa"/>
            <w:vAlign w:val="center"/>
          </w:tcPr>
          <w:p w14:paraId="31E0987E" w14:textId="77777777" w:rsidR="00D47A7E" w:rsidRPr="00987279"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14.193.127</w:t>
            </w:r>
          </w:p>
        </w:tc>
        <w:tc>
          <w:tcPr>
            <w:tcW w:w="1180" w:type="dxa"/>
            <w:gridSpan w:val="2"/>
            <w:noWrap/>
            <w:vAlign w:val="center"/>
          </w:tcPr>
          <w:p w14:paraId="1046D532" w14:textId="77777777" w:rsidR="00D47A7E" w:rsidRPr="00480CCC"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50.211.317</w:t>
            </w:r>
          </w:p>
        </w:tc>
        <w:tc>
          <w:tcPr>
            <w:tcW w:w="992" w:type="dxa"/>
            <w:vAlign w:val="center"/>
          </w:tcPr>
          <w:p w14:paraId="086D9438" w14:textId="77777777" w:rsidR="00D47A7E" w:rsidRPr="006060FE" w:rsidRDefault="00D47A7E" w:rsidP="003F4366">
            <w:pPr>
              <w:spacing w:line="276" w:lineRule="auto"/>
              <w:ind w:left="-105"/>
              <w:jc w:val="center"/>
              <w:rPr>
                <w:rFonts w:ascii="Calibri" w:eastAsia="Times New Roman" w:hAnsi="Calibri" w:cs="Times New Roman"/>
                <w:color w:val="595959" w:themeColor="text1" w:themeTint="A6"/>
                <w:sz w:val="14"/>
                <w:szCs w:val="14"/>
                <w:lang w:val="en-US" w:eastAsia="el-GR"/>
              </w:rPr>
            </w:pPr>
            <w:r w:rsidRPr="006060FE">
              <w:rPr>
                <w:rFonts w:ascii="Calibri" w:eastAsia="Times New Roman" w:hAnsi="Calibri" w:cs="Times New Roman"/>
                <w:color w:val="595959" w:themeColor="text1" w:themeTint="A6"/>
                <w:sz w:val="14"/>
                <w:szCs w:val="14"/>
                <w:lang w:val="en-US" w:eastAsia="el-GR"/>
              </w:rPr>
              <w:t>43.817.967</w:t>
            </w:r>
          </w:p>
        </w:tc>
        <w:tc>
          <w:tcPr>
            <w:tcW w:w="993" w:type="dxa"/>
            <w:vAlign w:val="center"/>
          </w:tcPr>
          <w:p w14:paraId="6EDBCC88" w14:textId="77777777" w:rsidR="00D47A7E" w:rsidRPr="009B3BB4" w:rsidRDefault="00D47A7E" w:rsidP="003F4366">
            <w:pPr>
              <w:spacing w:line="276" w:lineRule="auto"/>
              <w:ind w:right="-108"/>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6.393.350</w:t>
            </w:r>
          </w:p>
        </w:tc>
      </w:tr>
      <w:tr w:rsidR="00D47A7E" w:rsidRPr="00BA6E7D" w14:paraId="2773401A" w14:textId="77777777" w:rsidTr="003F4366">
        <w:trPr>
          <w:trHeight w:val="291"/>
          <w:jc w:val="center"/>
        </w:trPr>
        <w:tc>
          <w:tcPr>
            <w:tcW w:w="1276" w:type="dxa"/>
            <w:vAlign w:val="center"/>
            <w:hideMark/>
          </w:tcPr>
          <w:p w14:paraId="6D4FCD35" w14:textId="77777777" w:rsidR="00D47A7E" w:rsidRPr="006060FE" w:rsidRDefault="00D47A7E" w:rsidP="003F4366">
            <w:pPr>
              <w:spacing w:line="276" w:lineRule="auto"/>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Γέννησης</w:t>
            </w:r>
          </w:p>
        </w:tc>
        <w:tc>
          <w:tcPr>
            <w:tcW w:w="992" w:type="dxa"/>
            <w:noWrap/>
            <w:vAlign w:val="center"/>
          </w:tcPr>
          <w:p w14:paraId="29806D15" w14:textId="77777777" w:rsidR="00D47A7E" w:rsidRPr="006060FE" w:rsidRDefault="00D47A7E" w:rsidP="003F4366">
            <w:pPr>
              <w:spacing w:line="276" w:lineRule="auto"/>
              <w:ind w:left="-196" w:right="141"/>
              <w:jc w:val="right"/>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38.972.000</w:t>
            </w:r>
          </w:p>
        </w:tc>
        <w:tc>
          <w:tcPr>
            <w:tcW w:w="993" w:type="dxa"/>
            <w:vAlign w:val="center"/>
          </w:tcPr>
          <w:p w14:paraId="3EE58330" w14:textId="77777777" w:rsidR="00D47A7E" w:rsidRPr="00987279" w:rsidRDefault="00D47A7E" w:rsidP="003F4366">
            <w:pPr>
              <w:spacing w:line="276" w:lineRule="auto"/>
              <w:ind w:left="-199"/>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36.077.000</w:t>
            </w:r>
          </w:p>
        </w:tc>
        <w:tc>
          <w:tcPr>
            <w:tcW w:w="992" w:type="dxa"/>
            <w:shd w:val="clear" w:color="auto" w:fill="auto"/>
            <w:vAlign w:val="center"/>
          </w:tcPr>
          <w:p w14:paraId="05E6A9FF" w14:textId="77777777" w:rsidR="00D47A7E" w:rsidRPr="006060FE" w:rsidRDefault="00D47A7E" w:rsidP="003F4366">
            <w:pPr>
              <w:spacing w:line="276" w:lineRule="auto"/>
              <w:ind w:left="-107"/>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37.461.863</w:t>
            </w:r>
          </w:p>
        </w:tc>
        <w:tc>
          <w:tcPr>
            <w:tcW w:w="946" w:type="dxa"/>
          </w:tcPr>
          <w:p w14:paraId="7D146224" w14:textId="77777777" w:rsidR="00D47A7E" w:rsidRPr="00987279" w:rsidRDefault="00D47A7E" w:rsidP="003F4366">
            <w:pPr>
              <w:spacing w:line="276" w:lineRule="auto"/>
              <w:ind w:left="-14"/>
              <w:contextualSpacing/>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40.080.294</w:t>
            </w:r>
          </w:p>
        </w:tc>
        <w:tc>
          <w:tcPr>
            <w:tcW w:w="1180" w:type="dxa"/>
            <w:gridSpan w:val="2"/>
            <w:noWrap/>
          </w:tcPr>
          <w:p w14:paraId="1205FC5D" w14:textId="77777777" w:rsidR="00D47A7E" w:rsidRPr="00480CCC" w:rsidRDefault="00D47A7E" w:rsidP="003F4366">
            <w:pPr>
              <w:spacing w:line="276" w:lineRule="auto"/>
              <w:ind w:left="62"/>
              <w:contextualSpacing/>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152.591.157</w:t>
            </w:r>
          </w:p>
        </w:tc>
        <w:tc>
          <w:tcPr>
            <w:tcW w:w="992" w:type="dxa"/>
          </w:tcPr>
          <w:p w14:paraId="0AAF23E0" w14:textId="77777777" w:rsidR="00D47A7E" w:rsidRPr="006060FE" w:rsidRDefault="00D47A7E" w:rsidP="003F4366">
            <w:pPr>
              <w:spacing w:line="276" w:lineRule="auto"/>
              <w:ind w:left="-105"/>
              <w:contextualSpacing/>
              <w:jc w:val="center"/>
              <w:rPr>
                <w:rFonts w:ascii="Calibri" w:eastAsia="Times New Roman" w:hAnsi="Calibri" w:cs="Times New Roman"/>
                <w:color w:val="595959" w:themeColor="text1" w:themeTint="A6"/>
                <w:sz w:val="14"/>
                <w:szCs w:val="14"/>
                <w:lang w:val="en-US" w:eastAsia="el-GR"/>
              </w:rPr>
            </w:pPr>
            <w:r w:rsidRPr="006060FE">
              <w:rPr>
                <w:rFonts w:ascii="Calibri" w:eastAsia="Times New Roman" w:hAnsi="Calibri" w:cs="Times New Roman"/>
                <w:color w:val="595959" w:themeColor="text1" w:themeTint="A6"/>
                <w:sz w:val="14"/>
                <w:szCs w:val="14"/>
                <w:lang w:val="en-US" w:eastAsia="el-GR"/>
              </w:rPr>
              <w:t>109.864.000</w:t>
            </w:r>
          </w:p>
        </w:tc>
        <w:tc>
          <w:tcPr>
            <w:tcW w:w="993" w:type="dxa"/>
          </w:tcPr>
          <w:p w14:paraId="7C0002AA" w14:textId="77777777" w:rsidR="00D47A7E" w:rsidRPr="009B3BB4" w:rsidRDefault="00D47A7E" w:rsidP="003F4366">
            <w:pPr>
              <w:spacing w:line="276" w:lineRule="auto"/>
              <w:ind w:right="-108"/>
              <w:contextualSpacing/>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42.727.157</w:t>
            </w:r>
          </w:p>
        </w:tc>
      </w:tr>
      <w:tr w:rsidR="00D47A7E" w:rsidRPr="00BA6E7D" w14:paraId="2C4D0D8D" w14:textId="77777777" w:rsidTr="003F4366">
        <w:trPr>
          <w:trHeight w:val="300"/>
          <w:jc w:val="center"/>
        </w:trPr>
        <w:tc>
          <w:tcPr>
            <w:tcW w:w="1276" w:type="dxa"/>
            <w:vAlign w:val="center"/>
            <w:hideMark/>
          </w:tcPr>
          <w:p w14:paraId="0B6EE12B" w14:textId="77777777" w:rsidR="00D47A7E" w:rsidRPr="006060FE" w:rsidRDefault="00D47A7E" w:rsidP="003F4366">
            <w:pPr>
              <w:spacing w:line="276" w:lineRule="auto"/>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Οικογενειακά</w:t>
            </w:r>
          </w:p>
        </w:tc>
        <w:tc>
          <w:tcPr>
            <w:tcW w:w="992" w:type="dxa"/>
            <w:noWrap/>
            <w:vAlign w:val="center"/>
          </w:tcPr>
          <w:p w14:paraId="37C0D92E" w14:textId="77777777" w:rsidR="00D47A7E" w:rsidRPr="006060FE" w:rsidRDefault="00D47A7E" w:rsidP="003F4366">
            <w:pPr>
              <w:spacing w:line="276" w:lineRule="auto"/>
              <w:ind w:left="-196" w:right="141"/>
              <w:jc w:val="right"/>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137.997.132</w:t>
            </w:r>
          </w:p>
        </w:tc>
        <w:tc>
          <w:tcPr>
            <w:tcW w:w="993" w:type="dxa"/>
            <w:vAlign w:val="center"/>
          </w:tcPr>
          <w:p w14:paraId="7C589A24" w14:textId="77777777" w:rsidR="00D47A7E" w:rsidRPr="00987279" w:rsidRDefault="00D47A7E" w:rsidP="003F4366">
            <w:pPr>
              <w:spacing w:line="276" w:lineRule="auto"/>
              <w:ind w:left="-199"/>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164.038.133</w:t>
            </w:r>
          </w:p>
        </w:tc>
        <w:tc>
          <w:tcPr>
            <w:tcW w:w="992" w:type="dxa"/>
            <w:shd w:val="clear" w:color="auto" w:fill="auto"/>
            <w:vAlign w:val="center"/>
          </w:tcPr>
          <w:p w14:paraId="6E1E4E83" w14:textId="77777777" w:rsidR="00D47A7E" w:rsidRPr="006060FE" w:rsidRDefault="00D47A7E" w:rsidP="003F4366">
            <w:pPr>
              <w:spacing w:line="276" w:lineRule="auto"/>
              <w:ind w:left="-107"/>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373.687.981</w:t>
            </w:r>
          </w:p>
        </w:tc>
        <w:tc>
          <w:tcPr>
            <w:tcW w:w="946" w:type="dxa"/>
            <w:vAlign w:val="center"/>
          </w:tcPr>
          <w:p w14:paraId="1BB6E61D" w14:textId="77777777" w:rsidR="00D47A7E" w:rsidRPr="006060FE"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355.861.169</w:t>
            </w:r>
          </w:p>
        </w:tc>
        <w:tc>
          <w:tcPr>
            <w:tcW w:w="1180" w:type="dxa"/>
            <w:gridSpan w:val="2"/>
            <w:noWrap/>
            <w:vAlign w:val="center"/>
          </w:tcPr>
          <w:p w14:paraId="52A69703" w14:textId="77777777" w:rsidR="00D47A7E" w:rsidRPr="006060FE" w:rsidRDefault="00D47A7E" w:rsidP="003F4366">
            <w:pPr>
              <w:spacing w:line="276" w:lineRule="auto"/>
              <w:ind w:left="-109"/>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1.031.584.415</w:t>
            </w:r>
          </w:p>
        </w:tc>
        <w:tc>
          <w:tcPr>
            <w:tcW w:w="992" w:type="dxa"/>
            <w:vAlign w:val="center"/>
          </w:tcPr>
          <w:p w14:paraId="5BFC3BEF" w14:textId="77777777" w:rsidR="00D47A7E" w:rsidRPr="006060FE" w:rsidRDefault="00D47A7E" w:rsidP="003F4366">
            <w:pPr>
              <w:spacing w:line="276" w:lineRule="auto"/>
              <w:ind w:left="-105"/>
              <w:jc w:val="center"/>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1.016.538.785</w:t>
            </w:r>
          </w:p>
        </w:tc>
        <w:tc>
          <w:tcPr>
            <w:tcW w:w="993" w:type="dxa"/>
          </w:tcPr>
          <w:p w14:paraId="7694249A" w14:textId="77777777" w:rsidR="00D47A7E" w:rsidRPr="00BA6E7D" w:rsidRDefault="00D47A7E" w:rsidP="003F4366">
            <w:pPr>
              <w:spacing w:line="276" w:lineRule="auto"/>
              <w:ind w:right="-108"/>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15.045.630</w:t>
            </w:r>
          </w:p>
        </w:tc>
      </w:tr>
      <w:tr w:rsidR="00D47A7E" w:rsidRPr="00BA6E7D" w14:paraId="31F6F276" w14:textId="77777777" w:rsidTr="003F4366">
        <w:trPr>
          <w:trHeight w:val="300"/>
          <w:jc w:val="center"/>
        </w:trPr>
        <w:tc>
          <w:tcPr>
            <w:tcW w:w="1276" w:type="dxa"/>
            <w:vAlign w:val="center"/>
          </w:tcPr>
          <w:p w14:paraId="230D9964" w14:textId="77777777" w:rsidR="00D47A7E" w:rsidRPr="006060FE" w:rsidRDefault="00D47A7E" w:rsidP="003F4366">
            <w:pPr>
              <w:spacing w:line="276" w:lineRule="auto"/>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Πρόγραμμα «ΓΕΦΥΡΑ»</w:t>
            </w:r>
          </w:p>
        </w:tc>
        <w:tc>
          <w:tcPr>
            <w:tcW w:w="992" w:type="dxa"/>
            <w:noWrap/>
            <w:vAlign w:val="center"/>
          </w:tcPr>
          <w:p w14:paraId="5BC24986" w14:textId="77777777" w:rsidR="00D47A7E" w:rsidRDefault="00D47A7E" w:rsidP="003F4366">
            <w:pPr>
              <w:spacing w:line="276" w:lineRule="auto"/>
              <w:ind w:left="-196" w:right="141"/>
              <w:jc w:val="right"/>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72.840.787</w:t>
            </w:r>
          </w:p>
        </w:tc>
        <w:tc>
          <w:tcPr>
            <w:tcW w:w="993" w:type="dxa"/>
            <w:vAlign w:val="center"/>
          </w:tcPr>
          <w:p w14:paraId="478B7C5C" w14:textId="77777777" w:rsidR="00D47A7E" w:rsidRPr="00987279" w:rsidRDefault="00D47A7E" w:rsidP="003F4366">
            <w:pPr>
              <w:spacing w:line="276" w:lineRule="auto"/>
              <w:ind w:left="-199"/>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69.115.095</w:t>
            </w:r>
          </w:p>
        </w:tc>
        <w:tc>
          <w:tcPr>
            <w:tcW w:w="992" w:type="dxa"/>
            <w:shd w:val="clear" w:color="auto" w:fill="auto"/>
            <w:vAlign w:val="center"/>
          </w:tcPr>
          <w:p w14:paraId="4D2EB7BA" w14:textId="77777777" w:rsidR="00D47A7E" w:rsidRPr="006060FE" w:rsidRDefault="00D47A7E" w:rsidP="003F4366">
            <w:pPr>
              <w:spacing w:line="276" w:lineRule="auto"/>
              <w:ind w:left="-107"/>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45.008.769</w:t>
            </w:r>
          </w:p>
        </w:tc>
        <w:tc>
          <w:tcPr>
            <w:tcW w:w="946" w:type="dxa"/>
            <w:vAlign w:val="center"/>
          </w:tcPr>
          <w:p w14:paraId="144B4067" w14:textId="77777777" w:rsidR="00D47A7E" w:rsidRPr="006060FE"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36.674.728</w:t>
            </w:r>
          </w:p>
        </w:tc>
        <w:tc>
          <w:tcPr>
            <w:tcW w:w="1180" w:type="dxa"/>
            <w:gridSpan w:val="2"/>
            <w:noWrap/>
            <w:vAlign w:val="center"/>
          </w:tcPr>
          <w:p w14:paraId="25F25D20" w14:textId="77777777" w:rsidR="00D47A7E" w:rsidRPr="006060FE" w:rsidRDefault="00D47A7E" w:rsidP="003F4366">
            <w:pPr>
              <w:spacing w:line="276" w:lineRule="auto"/>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223.639.379</w:t>
            </w:r>
          </w:p>
        </w:tc>
        <w:tc>
          <w:tcPr>
            <w:tcW w:w="992" w:type="dxa"/>
            <w:vAlign w:val="center"/>
          </w:tcPr>
          <w:p w14:paraId="5DEB66D2" w14:textId="77777777" w:rsidR="00D47A7E" w:rsidRPr="006060FE" w:rsidRDefault="00D47A7E" w:rsidP="003F4366">
            <w:pPr>
              <w:spacing w:line="276" w:lineRule="auto"/>
              <w:ind w:left="-105"/>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23.256.862</w:t>
            </w:r>
          </w:p>
        </w:tc>
        <w:tc>
          <w:tcPr>
            <w:tcW w:w="993" w:type="dxa"/>
            <w:vAlign w:val="center"/>
          </w:tcPr>
          <w:p w14:paraId="2AD46A18" w14:textId="77777777" w:rsidR="00D47A7E" w:rsidRPr="00BA6E7D" w:rsidRDefault="00D47A7E" w:rsidP="003F4366">
            <w:pPr>
              <w:spacing w:line="276" w:lineRule="auto"/>
              <w:ind w:left="-46" w:right="-198"/>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200.382.517</w:t>
            </w:r>
          </w:p>
        </w:tc>
      </w:tr>
      <w:tr w:rsidR="00D47A7E" w:rsidRPr="00BA6E7D" w14:paraId="6625803B" w14:textId="77777777" w:rsidTr="003F4366">
        <w:trPr>
          <w:trHeight w:val="300"/>
          <w:jc w:val="center"/>
        </w:trPr>
        <w:tc>
          <w:tcPr>
            <w:tcW w:w="1276" w:type="dxa"/>
            <w:vAlign w:val="center"/>
            <w:hideMark/>
          </w:tcPr>
          <w:p w14:paraId="69C0673D" w14:textId="77777777" w:rsidR="00D47A7E" w:rsidRPr="006060FE" w:rsidRDefault="00D47A7E" w:rsidP="003F4366">
            <w:pPr>
              <w:spacing w:line="276" w:lineRule="auto"/>
              <w:rPr>
                <w:rFonts w:ascii="Calibri" w:eastAsia="Times New Roman" w:hAnsi="Calibri" w:cs="Times New Roman"/>
                <w:color w:val="595959" w:themeColor="text1" w:themeTint="A6"/>
                <w:sz w:val="14"/>
                <w:szCs w:val="14"/>
                <w:lang w:eastAsia="el-GR"/>
              </w:rPr>
            </w:pPr>
            <w:r w:rsidRPr="006060FE">
              <w:rPr>
                <w:rFonts w:ascii="Calibri" w:eastAsia="Times New Roman" w:hAnsi="Calibri" w:cs="Times New Roman"/>
                <w:color w:val="595959" w:themeColor="text1" w:themeTint="A6"/>
                <w:sz w:val="14"/>
                <w:szCs w:val="14"/>
                <w:lang w:eastAsia="el-GR"/>
              </w:rPr>
              <w:t>Άλλα επιδόματα</w:t>
            </w:r>
          </w:p>
        </w:tc>
        <w:tc>
          <w:tcPr>
            <w:tcW w:w="992" w:type="dxa"/>
            <w:noWrap/>
            <w:vAlign w:val="center"/>
          </w:tcPr>
          <w:p w14:paraId="15458F37" w14:textId="77777777" w:rsidR="00D47A7E" w:rsidRPr="006060FE" w:rsidRDefault="00D47A7E" w:rsidP="003F4366">
            <w:pPr>
              <w:spacing w:line="276" w:lineRule="auto"/>
              <w:ind w:left="-196" w:right="141"/>
              <w:jc w:val="right"/>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5.570.862</w:t>
            </w:r>
          </w:p>
        </w:tc>
        <w:tc>
          <w:tcPr>
            <w:tcW w:w="993" w:type="dxa"/>
            <w:vAlign w:val="center"/>
          </w:tcPr>
          <w:p w14:paraId="2893F4B8" w14:textId="77777777" w:rsidR="00D47A7E" w:rsidRPr="006060FE" w:rsidRDefault="00D47A7E" w:rsidP="003F4366">
            <w:pPr>
              <w:spacing w:line="276" w:lineRule="auto"/>
              <w:ind w:left="-199"/>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2.880.266</w:t>
            </w:r>
          </w:p>
        </w:tc>
        <w:tc>
          <w:tcPr>
            <w:tcW w:w="992" w:type="dxa"/>
            <w:shd w:val="clear" w:color="auto" w:fill="auto"/>
            <w:vAlign w:val="center"/>
          </w:tcPr>
          <w:p w14:paraId="4F1FF21D" w14:textId="77777777" w:rsidR="00D47A7E" w:rsidRPr="006060FE" w:rsidRDefault="00D47A7E" w:rsidP="003F4366">
            <w:pPr>
              <w:spacing w:line="276" w:lineRule="auto"/>
              <w:ind w:left="-107"/>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2.898.626</w:t>
            </w:r>
          </w:p>
        </w:tc>
        <w:tc>
          <w:tcPr>
            <w:tcW w:w="946" w:type="dxa"/>
          </w:tcPr>
          <w:p w14:paraId="17981004" w14:textId="77777777" w:rsidR="00D47A7E" w:rsidRPr="00480CCC" w:rsidRDefault="00D47A7E" w:rsidP="003F4366">
            <w:pPr>
              <w:spacing w:line="276" w:lineRule="auto"/>
              <w:ind w:left="62" w:right="-108"/>
              <w:contextualSpacing/>
              <w:jc w:val="center"/>
              <w:rPr>
                <w:rFonts w:ascii="Calibri" w:eastAsia="Times New Roman" w:hAnsi="Calibri" w:cs="Times New Roman"/>
                <w:color w:val="595959" w:themeColor="text1" w:themeTint="A6"/>
                <w:sz w:val="6"/>
                <w:szCs w:val="6"/>
                <w:lang w:eastAsia="el-GR"/>
              </w:rPr>
            </w:pPr>
          </w:p>
          <w:p w14:paraId="3FAB15E3" w14:textId="77777777" w:rsidR="00D47A7E" w:rsidRPr="006060FE" w:rsidRDefault="00D47A7E" w:rsidP="003F4366">
            <w:pPr>
              <w:spacing w:line="276" w:lineRule="auto"/>
              <w:ind w:left="-14" w:right="-97"/>
              <w:contextualSpacing/>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6.729.819</w:t>
            </w:r>
          </w:p>
        </w:tc>
        <w:tc>
          <w:tcPr>
            <w:tcW w:w="1180" w:type="dxa"/>
            <w:gridSpan w:val="2"/>
            <w:noWrap/>
          </w:tcPr>
          <w:p w14:paraId="2173744B" w14:textId="77777777" w:rsidR="00D47A7E" w:rsidRPr="00480CCC" w:rsidRDefault="00D47A7E" w:rsidP="003F4366">
            <w:pPr>
              <w:spacing w:line="276" w:lineRule="auto"/>
              <w:ind w:left="62"/>
              <w:contextualSpacing/>
              <w:jc w:val="center"/>
              <w:rPr>
                <w:rFonts w:ascii="Calibri" w:eastAsia="Times New Roman" w:hAnsi="Calibri" w:cs="Times New Roman"/>
                <w:color w:val="595959" w:themeColor="text1" w:themeTint="A6"/>
                <w:sz w:val="6"/>
                <w:szCs w:val="6"/>
                <w:lang w:eastAsia="el-GR"/>
              </w:rPr>
            </w:pPr>
          </w:p>
          <w:p w14:paraId="65411804" w14:textId="77777777" w:rsidR="00D47A7E" w:rsidRPr="006060FE" w:rsidRDefault="00D47A7E" w:rsidP="003F4366">
            <w:pPr>
              <w:spacing w:line="276" w:lineRule="auto"/>
              <w:ind w:left="62"/>
              <w:contextualSpacing/>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18.079.573</w:t>
            </w:r>
          </w:p>
        </w:tc>
        <w:tc>
          <w:tcPr>
            <w:tcW w:w="992" w:type="dxa"/>
          </w:tcPr>
          <w:p w14:paraId="0D434931" w14:textId="77777777" w:rsidR="00D47A7E" w:rsidRPr="00904B3E" w:rsidRDefault="00D47A7E" w:rsidP="003F4366">
            <w:pPr>
              <w:spacing w:line="276" w:lineRule="auto"/>
              <w:ind w:left="-105"/>
              <w:contextualSpacing/>
              <w:jc w:val="center"/>
              <w:rPr>
                <w:rFonts w:ascii="Calibri" w:eastAsia="Times New Roman" w:hAnsi="Calibri" w:cs="Times New Roman"/>
                <w:color w:val="595959" w:themeColor="text1" w:themeTint="A6"/>
                <w:sz w:val="6"/>
                <w:szCs w:val="6"/>
                <w:lang w:eastAsia="el-GR"/>
              </w:rPr>
            </w:pPr>
          </w:p>
          <w:p w14:paraId="695B9A51" w14:textId="77777777" w:rsidR="00D47A7E" w:rsidRPr="006060FE" w:rsidRDefault="00D47A7E" w:rsidP="003F4366">
            <w:pPr>
              <w:spacing w:line="276" w:lineRule="auto"/>
              <w:ind w:left="-105"/>
              <w:contextualSpacing/>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12.916.612</w:t>
            </w:r>
          </w:p>
        </w:tc>
        <w:tc>
          <w:tcPr>
            <w:tcW w:w="993" w:type="dxa"/>
          </w:tcPr>
          <w:p w14:paraId="7A3BF422" w14:textId="77777777" w:rsidR="00D47A7E" w:rsidRPr="009B3BB4" w:rsidRDefault="00D47A7E" w:rsidP="003F4366">
            <w:pPr>
              <w:spacing w:line="276" w:lineRule="auto"/>
              <w:ind w:right="-108"/>
              <w:contextualSpacing/>
              <w:jc w:val="center"/>
              <w:rPr>
                <w:rFonts w:ascii="Calibri" w:eastAsia="Times New Roman" w:hAnsi="Calibri" w:cs="Times New Roman"/>
                <w:color w:val="595959" w:themeColor="text1" w:themeTint="A6"/>
                <w:sz w:val="6"/>
                <w:szCs w:val="6"/>
                <w:lang w:eastAsia="el-GR"/>
              </w:rPr>
            </w:pPr>
          </w:p>
          <w:p w14:paraId="6911ACF7" w14:textId="77777777" w:rsidR="00D47A7E" w:rsidRPr="00BA6E7D" w:rsidRDefault="00D47A7E" w:rsidP="003F4366">
            <w:pPr>
              <w:spacing w:line="276" w:lineRule="auto"/>
              <w:ind w:right="-108"/>
              <w:contextualSpacing/>
              <w:jc w:val="center"/>
              <w:rPr>
                <w:rFonts w:ascii="Calibri" w:eastAsia="Times New Roman" w:hAnsi="Calibri" w:cs="Times New Roman"/>
                <w:color w:val="595959" w:themeColor="text1" w:themeTint="A6"/>
                <w:sz w:val="14"/>
                <w:szCs w:val="14"/>
                <w:lang w:eastAsia="el-GR"/>
              </w:rPr>
            </w:pPr>
            <w:r>
              <w:rPr>
                <w:rFonts w:ascii="Calibri" w:eastAsia="Times New Roman" w:hAnsi="Calibri" w:cs="Times New Roman"/>
                <w:color w:val="595959" w:themeColor="text1" w:themeTint="A6"/>
                <w:sz w:val="14"/>
                <w:szCs w:val="14"/>
                <w:lang w:eastAsia="el-GR"/>
              </w:rPr>
              <w:t>5.162.961</w:t>
            </w:r>
          </w:p>
        </w:tc>
      </w:tr>
      <w:tr w:rsidR="00D47A7E" w:rsidRPr="009B0549" w14:paraId="0B57E648" w14:textId="77777777" w:rsidTr="003F4366">
        <w:trPr>
          <w:trHeight w:val="243"/>
          <w:jc w:val="center"/>
        </w:trPr>
        <w:tc>
          <w:tcPr>
            <w:tcW w:w="1276" w:type="dxa"/>
            <w:tcBorders>
              <w:top w:val="nil"/>
              <w:left w:val="nil"/>
              <w:bottom w:val="single" w:sz="4" w:space="0" w:color="auto"/>
              <w:right w:val="nil"/>
            </w:tcBorders>
            <w:vAlign w:val="center"/>
            <w:hideMark/>
          </w:tcPr>
          <w:p w14:paraId="47B544FB" w14:textId="77777777" w:rsidR="00D47A7E" w:rsidRPr="006060FE" w:rsidRDefault="00D47A7E" w:rsidP="003F4366">
            <w:pPr>
              <w:spacing w:after="0" w:line="276" w:lineRule="auto"/>
              <w:ind w:left="-103"/>
              <w:jc w:val="center"/>
              <w:rPr>
                <w:rFonts w:ascii="Calibri" w:eastAsia="Times New Roman" w:hAnsi="Calibri" w:cs="Times New Roman"/>
                <w:b/>
                <w:bCs/>
                <w:color w:val="595959" w:themeColor="text1" w:themeTint="A6"/>
                <w:sz w:val="14"/>
                <w:szCs w:val="14"/>
                <w:lang w:eastAsia="el-GR"/>
              </w:rPr>
            </w:pPr>
            <w:r w:rsidRPr="006060FE">
              <w:rPr>
                <w:rFonts w:ascii="Calibri" w:eastAsia="Times New Roman" w:hAnsi="Calibri" w:cs="Times New Roman"/>
                <w:b/>
                <w:bCs/>
                <w:color w:val="595959" w:themeColor="text1" w:themeTint="A6"/>
                <w:sz w:val="14"/>
                <w:szCs w:val="14"/>
                <w:lang w:eastAsia="el-GR"/>
              </w:rPr>
              <w:t>ΣΥΝΟΛΟ</w:t>
            </w:r>
          </w:p>
        </w:tc>
        <w:tc>
          <w:tcPr>
            <w:tcW w:w="992" w:type="dxa"/>
            <w:tcBorders>
              <w:top w:val="nil"/>
              <w:left w:val="nil"/>
              <w:bottom w:val="single" w:sz="4" w:space="0" w:color="auto"/>
              <w:right w:val="nil"/>
            </w:tcBorders>
            <w:noWrap/>
            <w:vAlign w:val="center"/>
          </w:tcPr>
          <w:p w14:paraId="10241A18" w14:textId="77777777" w:rsidR="00D47A7E" w:rsidRPr="006060FE" w:rsidRDefault="00D47A7E" w:rsidP="003F4366">
            <w:pPr>
              <w:spacing w:after="0" w:line="276" w:lineRule="auto"/>
              <w:ind w:left="-103" w:hanging="99"/>
              <w:jc w:val="right"/>
              <w:rPr>
                <w:rFonts w:ascii="Calibri" w:eastAsia="Times New Roman" w:hAnsi="Calibri" w:cs="Times New Roman"/>
                <w:b/>
                <w:color w:val="595959" w:themeColor="text1" w:themeTint="A6"/>
                <w:sz w:val="14"/>
                <w:szCs w:val="14"/>
                <w:lang w:eastAsia="el-GR"/>
              </w:rPr>
            </w:pPr>
            <w:r>
              <w:rPr>
                <w:rFonts w:ascii="Calibri" w:eastAsia="Times New Roman" w:hAnsi="Calibri" w:cs="Times New Roman"/>
                <w:b/>
                <w:color w:val="595959" w:themeColor="text1" w:themeTint="A6"/>
                <w:sz w:val="14"/>
                <w:szCs w:val="14"/>
                <w:lang w:val="en-US" w:eastAsia="el-GR"/>
              </w:rPr>
              <w:t xml:space="preserve"> </w:t>
            </w:r>
            <w:r>
              <w:rPr>
                <w:rFonts w:ascii="Calibri" w:eastAsia="Times New Roman" w:hAnsi="Calibri" w:cs="Times New Roman"/>
                <w:b/>
                <w:color w:val="595959" w:themeColor="text1" w:themeTint="A6"/>
                <w:sz w:val="14"/>
                <w:szCs w:val="14"/>
                <w:lang w:eastAsia="el-GR"/>
              </w:rPr>
              <w:t>770.078.698</w:t>
            </w:r>
          </w:p>
        </w:tc>
        <w:tc>
          <w:tcPr>
            <w:tcW w:w="993" w:type="dxa"/>
            <w:tcBorders>
              <w:top w:val="nil"/>
              <w:left w:val="nil"/>
              <w:bottom w:val="single" w:sz="4" w:space="0" w:color="auto"/>
              <w:right w:val="nil"/>
            </w:tcBorders>
            <w:vAlign w:val="center"/>
          </w:tcPr>
          <w:p w14:paraId="5409B414" w14:textId="77777777" w:rsidR="00D47A7E" w:rsidRPr="006060FE" w:rsidRDefault="00D47A7E" w:rsidP="003F4366">
            <w:pPr>
              <w:spacing w:after="0" w:line="276" w:lineRule="auto"/>
              <w:ind w:left="-103" w:hanging="194"/>
              <w:jc w:val="center"/>
              <w:rPr>
                <w:rFonts w:ascii="Calibri" w:eastAsia="Times New Roman" w:hAnsi="Calibri" w:cs="Times New Roman"/>
                <w:b/>
                <w:color w:val="595959" w:themeColor="text1" w:themeTint="A6"/>
                <w:sz w:val="14"/>
                <w:szCs w:val="14"/>
                <w:lang w:eastAsia="el-GR"/>
              </w:rPr>
            </w:pPr>
            <w:r>
              <w:rPr>
                <w:rFonts w:ascii="Calibri" w:eastAsia="Times New Roman" w:hAnsi="Calibri" w:cs="Times New Roman"/>
                <w:b/>
                <w:color w:val="595959" w:themeColor="text1" w:themeTint="A6"/>
                <w:sz w:val="14"/>
                <w:szCs w:val="14"/>
                <w:lang w:val="en-US" w:eastAsia="el-GR"/>
              </w:rPr>
              <w:t xml:space="preserve">     </w:t>
            </w:r>
            <w:r>
              <w:rPr>
                <w:rFonts w:ascii="Calibri" w:eastAsia="Times New Roman" w:hAnsi="Calibri" w:cs="Times New Roman"/>
                <w:b/>
                <w:color w:val="595959" w:themeColor="text1" w:themeTint="A6"/>
                <w:sz w:val="14"/>
                <w:szCs w:val="14"/>
                <w:lang w:eastAsia="el-GR"/>
              </w:rPr>
              <w:t>794.941.668</w:t>
            </w:r>
          </w:p>
        </w:tc>
        <w:tc>
          <w:tcPr>
            <w:tcW w:w="992" w:type="dxa"/>
            <w:tcBorders>
              <w:top w:val="nil"/>
              <w:left w:val="nil"/>
              <w:bottom w:val="single" w:sz="4" w:space="0" w:color="auto"/>
              <w:right w:val="nil"/>
            </w:tcBorders>
            <w:shd w:val="clear" w:color="auto" w:fill="auto"/>
            <w:vAlign w:val="center"/>
          </w:tcPr>
          <w:p w14:paraId="134E474C" w14:textId="77777777" w:rsidR="00D47A7E" w:rsidRPr="006060FE" w:rsidRDefault="00D47A7E" w:rsidP="003F4366">
            <w:pPr>
              <w:spacing w:after="0" w:line="276" w:lineRule="auto"/>
              <w:ind w:left="-103" w:firstLine="86"/>
              <w:jc w:val="center"/>
              <w:rPr>
                <w:rFonts w:ascii="Calibri" w:eastAsia="Times New Roman" w:hAnsi="Calibri" w:cs="Times New Roman"/>
                <w:b/>
                <w:color w:val="595959" w:themeColor="text1" w:themeTint="A6"/>
                <w:sz w:val="14"/>
                <w:szCs w:val="14"/>
                <w:lang w:eastAsia="el-GR"/>
              </w:rPr>
            </w:pPr>
            <w:r>
              <w:rPr>
                <w:rFonts w:ascii="Calibri" w:eastAsia="Times New Roman" w:hAnsi="Calibri" w:cs="Times New Roman"/>
                <w:b/>
                <w:color w:val="595959" w:themeColor="text1" w:themeTint="A6"/>
                <w:sz w:val="14"/>
                <w:szCs w:val="14"/>
                <w:lang w:eastAsia="el-GR"/>
              </w:rPr>
              <w:t>941.997.215</w:t>
            </w:r>
          </w:p>
        </w:tc>
        <w:tc>
          <w:tcPr>
            <w:tcW w:w="1095" w:type="dxa"/>
            <w:gridSpan w:val="2"/>
            <w:tcBorders>
              <w:top w:val="nil"/>
              <w:left w:val="nil"/>
              <w:bottom w:val="single" w:sz="4" w:space="0" w:color="auto"/>
              <w:right w:val="nil"/>
            </w:tcBorders>
            <w:vAlign w:val="center"/>
          </w:tcPr>
          <w:p w14:paraId="3D11F4E5" w14:textId="77777777" w:rsidR="00D47A7E" w:rsidRPr="006060FE" w:rsidRDefault="00D47A7E" w:rsidP="003F4366">
            <w:pPr>
              <w:spacing w:after="0" w:line="276" w:lineRule="auto"/>
              <w:ind w:left="-103"/>
              <w:jc w:val="center"/>
              <w:rPr>
                <w:rFonts w:ascii="Calibri" w:eastAsia="Times New Roman" w:hAnsi="Calibri" w:cs="Times New Roman"/>
                <w:b/>
                <w:color w:val="595959" w:themeColor="text1" w:themeTint="A6"/>
                <w:sz w:val="14"/>
                <w:szCs w:val="14"/>
                <w:lang w:eastAsia="el-GR"/>
              </w:rPr>
            </w:pPr>
            <w:r>
              <w:rPr>
                <w:rFonts w:ascii="Calibri" w:eastAsia="Times New Roman" w:hAnsi="Calibri" w:cs="Times New Roman"/>
                <w:b/>
                <w:color w:val="595959" w:themeColor="text1" w:themeTint="A6"/>
                <w:sz w:val="14"/>
                <w:szCs w:val="14"/>
                <w:lang w:eastAsia="el-GR"/>
              </w:rPr>
              <w:t>944.753.486</w:t>
            </w:r>
          </w:p>
        </w:tc>
        <w:tc>
          <w:tcPr>
            <w:tcW w:w="1031" w:type="dxa"/>
            <w:tcBorders>
              <w:top w:val="nil"/>
              <w:left w:val="nil"/>
              <w:bottom w:val="single" w:sz="4" w:space="0" w:color="auto"/>
              <w:right w:val="nil"/>
            </w:tcBorders>
            <w:noWrap/>
            <w:vAlign w:val="center"/>
          </w:tcPr>
          <w:p w14:paraId="74ECB733" w14:textId="77777777" w:rsidR="00D47A7E" w:rsidRPr="006060FE" w:rsidRDefault="00D47A7E" w:rsidP="003F4366">
            <w:pPr>
              <w:spacing w:after="0" w:line="276" w:lineRule="auto"/>
              <w:ind w:left="-103" w:hanging="91"/>
              <w:jc w:val="center"/>
              <w:rPr>
                <w:rFonts w:ascii="Calibri" w:eastAsia="Times New Roman" w:hAnsi="Calibri" w:cs="Times New Roman"/>
                <w:b/>
                <w:color w:val="595959" w:themeColor="text1" w:themeTint="A6"/>
                <w:sz w:val="14"/>
                <w:szCs w:val="14"/>
                <w:lang w:eastAsia="el-GR"/>
              </w:rPr>
            </w:pPr>
            <w:r>
              <w:rPr>
                <w:rFonts w:ascii="Calibri" w:eastAsia="Times New Roman" w:hAnsi="Calibri" w:cs="Times New Roman"/>
                <w:b/>
                <w:color w:val="595959" w:themeColor="text1" w:themeTint="A6"/>
                <w:sz w:val="14"/>
                <w:szCs w:val="14"/>
                <w:lang w:eastAsia="el-GR"/>
              </w:rPr>
              <w:t>3.452.789.546</w:t>
            </w:r>
          </w:p>
        </w:tc>
        <w:tc>
          <w:tcPr>
            <w:tcW w:w="992" w:type="dxa"/>
            <w:tcBorders>
              <w:top w:val="nil"/>
              <w:left w:val="nil"/>
              <w:bottom w:val="single" w:sz="4" w:space="0" w:color="auto"/>
              <w:right w:val="nil"/>
            </w:tcBorders>
            <w:vAlign w:val="center"/>
          </w:tcPr>
          <w:p w14:paraId="383D20B4" w14:textId="77777777" w:rsidR="00D47A7E" w:rsidRPr="006060FE" w:rsidRDefault="00D47A7E" w:rsidP="003F4366">
            <w:pPr>
              <w:spacing w:after="0" w:line="276" w:lineRule="auto"/>
              <w:ind w:left="-103" w:hanging="90"/>
              <w:jc w:val="center"/>
              <w:rPr>
                <w:rFonts w:ascii="Calibri" w:eastAsia="Times New Roman" w:hAnsi="Calibri" w:cs="Times New Roman"/>
                <w:b/>
                <w:color w:val="595959" w:themeColor="text1" w:themeTint="A6"/>
                <w:sz w:val="14"/>
                <w:szCs w:val="14"/>
                <w:lang w:eastAsia="el-GR"/>
              </w:rPr>
            </w:pPr>
            <w:r w:rsidRPr="006060FE">
              <w:rPr>
                <w:rFonts w:ascii="Calibri" w:eastAsia="Times New Roman" w:hAnsi="Calibri" w:cs="Times New Roman"/>
                <w:b/>
                <w:color w:val="595959" w:themeColor="text1" w:themeTint="A6"/>
                <w:sz w:val="14"/>
                <w:szCs w:val="14"/>
                <w:lang w:eastAsia="el-GR"/>
              </w:rPr>
              <w:t>3.160.847.243</w:t>
            </w:r>
          </w:p>
        </w:tc>
        <w:tc>
          <w:tcPr>
            <w:tcW w:w="993" w:type="dxa"/>
            <w:tcBorders>
              <w:top w:val="nil"/>
              <w:left w:val="nil"/>
              <w:bottom w:val="single" w:sz="4" w:space="0" w:color="auto"/>
              <w:right w:val="nil"/>
            </w:tcBorders>
          </w:tcPr>
          <w:p w14:paraId="1C1C78ED" w14:textId="77777777" w:rsidR="00D47A7E" w:rsidRPr="00DD1444" w:rsidRDefault="00D47A7E" w:rsidP="003F4366">
            <w:pPr>
              <w:spacing w:after="0" w:line="276" w:lineRule="auto"/>
              <w:ind w:left="-103" w:right="-175" w:hanging="12"/>
              <w:jc w:val="center"/>
              <w:rPr>
                <w:rFonts w:ascii="Calibri" w:eastAsia="Times New Roman" w:hAnsi="Calibri" w:cs="Times New Roman"/>
                <w:b/>
                <w:color w:val="595959" w:themeColor="text1" w:themeTint="A6"/>
                <w:sz w:val="16"/>
                <w:szCs w:val="16"/>
                <w:lang w:eastAsia="el-GR"/>
              </w:rPr>
            </w:pPr>
            <w:r>
              <w:rPr>
                <w:rFonts w:ascii="Calibri" w:eastAsia="Times New Roman" w:hAnsi="Calibri" w:cs="Times New Roman"/>
                <w:b/>
                <w:color w:val="595959" w:themeColor="text1" w:themeTint="A6"/>
                <w:sz w:val="16"/>
                <w:szCs w:val="16"/>
                <w:lang w:eastAsia="el-GR"/>
              </w:rPr>
              <w:t>291.942.303</w:t>
            </w:r>
          </w:p>
        </w:tc>
      </w:tr>
      <w:tr w:rsidR="00D47A7E" w:rsidRPr="009B0549" w14:paraId="0A8B0EEA" w14:textId="77777777" w:rsidTr="003F4366">
        <w:trPr>
          <w:trHeight w:val="300"/>
          <w:jc w:val="center"/>
        </w:trPr>
        <w:tc>
          <w:tcPr>
            <w:tcW w:w="8364" w:type="dxa"/>
            <w:gridSpan w:val="9"/>
            <w:tcBorders>
              <w:top w:val="single" w:sz="4" w:space="0" w:color="auto"/>
              <w:left w:val="nil"/>
              <w:right w:val="nil"/>
            </w:tcBorders>
          </w:tcPr>
          <w:p w14:paraId="462A04E3" w14:textId="77777777" w:rsidR="00D47A7E" w:rsidRPr="009B0549" w:rsidRDefault="00D47A7E" w:rsidP="003F4366">
            <w:pPr>
              <w:spacing w:after="0" w:line="276" w:lineRule="auto"/>
              <w:ind w:left="-11"/>
              <w:jc w:val="both"/>
              <w:rPr>
                <w:rFonts w:ascii="Calibri" w:eastAsia="Times New Roman" w:hAnsi="Calibri" w:cs="Times New Roman"/>
                <w:bCs/>
                <w:color w:val="595959" w:themeColor="text1" w:themeTint="A6"/>
                <w:sz w:val="16"/>
                <w:szCs w:val="16"/>
                <w:lang w:eastAsia="el-GR"/>
              </w:rPr>
            </w:pPr>
            <w:r w:rsidRPr="009B0549">
              <w:rPr>
                <w:rFonts w:ascii="Calibri" w:eastAsia="Times New Roman" w:hAnsi="Calibri" w:cs="Times New Roman"/>
                <w:bCs/>
                <w:color w:val="595959" w:themeColor="text1" w:themeTint="A6"/>
                <w:sz w:val="16"/>
                <w:szCs w:val="16"/>
                <w:lang w:eastAsia="el-GR"/>
              </w:rPr>
              <w:t>Σημείωση:</w:t>
            </w:r>
            <w:r w:rsidRPr="00870AE2">
              <w:rPr>
                <w:rFonts w:ascii="Calibri" w:eastAsia="Times New Roman" w:hAnsi="Calibri" w:cs="Times New Roman"/>
                <w:bCs/>
                <w:color w:val="595959" w:themeColor="text1" w:themeTint="A6"/>
                <w:sz w:val="16"/>
                <w:szCs w:val="16"/>
                <w:lang w:eastAsia="el-GR"/>
              </w:rPr>
              <w:t xml:space="preserve"> </w:t>
            </w:r>
            <w:r w:rsidRPr="009B0549">
              <w:rPr>
                <w:rFonts w:ascii="Calibri" w:eastAsia="Times New Roman" w:hAnsi="Calibri" w:cs="Times New Roman"/>
                <w:bCs/>
                <w:color w:val="595959" w:themeColor="text1" w:themeTint="A6"/>
                <w:sz w:val="16"/>
                <w:szCs w:val="16"/>
                <w:lang w:eastAsia="el-GR"/>
              </w:rPr>
              <w:t xml:space="preserve">Στα “Άλλα επιδόματα” περιλαμβάνονται τα επιδόματα στεγαστικής συνδρομής, ομογενών, ορεινών &amp; μειονεκτικών περιοχών, τα έξοδα κηδείας, η συνεισφορά του Δημοσίου στα κόκκινα δάνεια, το επίδομα στα προστατευόμενα τέκνα θανόντων σε φυσικές καταστροφές και το </w:t>
            </w:r>
            <w:r>
              <w:rPr>
                <w:rFonts w:ascii="Calibri" w:eastAsia="Times New Roman" w:hAnsi="Calibri" w:cs="Times New Roman"/>
                <w:bCs/>
                <w:color w:val="595959" w:themeColor="text1" w:themeTint="A6"/>
                <w:sz w:val="16"/>
                <w:szCs w:val="16"/>
                <w:lang w:eastAsia="el-GR"/>
              </w:rPr>
              <w:t>επίδομα αναδοχής</w:t>
            </w:r>
            <w:r w:rsidRPr="009B0549">
              <w:rPr>
                <w:rFonts w:ascii="Calibri" w:eastAsia="Times New Roman" w:hAnsi="Calibri" w:cs="Times New Roman"/>
                <w:bCs/>
                <w:color w:val="595959" w:themeColor="text1" w:themeTint="A6"/>
                <w:sz w:val="16"/>
                <w:szCs w:val="16"/>
                <w:lang w:eastAsia="el-GR"/>
              </w:rPr>
              <w:t xml:space="preserve">. </w:t>
            </w:r>
          </w:p>
          <w:p w14:paraId="550A6329" w14:textId="77777777" w:rsidR="00D47A7E" w:rsidRPr="009B0549" w:rsidRDefault="00D47A7E" w:rsidP="003F4366">
            <w:pPr>
              <w:spacing w:after="0" w:line="276" w:lineRule="auto"/>
              <w:ind w:left="601" w:hanging="601"/>
              <w:jc w:val="both"/>
              <w:rPr>
                <w:rFonts w:ascii="Calibri" w:eastAsia="Times New Roman" w:hAnsi="Calibri" w:cs="Times New Roman"/>
                <w:bCs/>
                <w:color w:val="595959" w:themeColor="text1" w:themeTint="A6"/>
                <w:sz w:val="16"/>
                <w:szCs w:val="16"/>
                <w:lang w:eastAsia="el-GR"/>
              </w:rPr>
            </w:pPr>
            <w:r w:rsidRPr="009B0549">
              <w:rPr>
                <w:rFonts w:ascii="Calibri" w:eastAsia="Times New Roman" w:hAnsi="Calibri" w:cs="Times New Roman"/>
                <w:bCs/>
                <w:color w:val="595959" w:themeColor="text1" w:themeTint="A6"/>
                <w:sz w:val="16"/>
                <w:szCs w:val="16"/>
                <w:lang w:eastAsia="el-GR"/>
              </w:rPr>
              <w:t>Πηγή: ΟΠΕΚΑ</w:t>
            </w:r>
          </w:p>
        </w:tc>
      </w:tr>
    </w:tbl>
    <w:p w14:paraId="13C7D385" w14:textId="77777777" w:rsidR="00D47A7E" w:rsidRPr="00575A7E" w:rsidRDefault="00D47A7E" w:rsidP="00D47A7E">
      <w:pPr>
        <w:spacing w:after="0" w:line="276" w:lineRule="auto"/>
        <w:jc w:val="both"/>
        <w:rPr>
          <w:rFonts w:ascii="Calibri" w:eastAsia="Calibri" w:hAnsi="Calibri" w:cs="Times New Roman"/>
          <w:color w:val="595959" w:themeColor="text1" w:themeTint="A6"/>
        </w:rPr>
      </w:pPr>
    </w:p>
    <w:p w14:paraId="740A44BE" w14:textId="77777777" w:rsidR="00D47A7E" w:rsidRPr="009D1160" w:rsidRDefault="00D47A7E" w:rsidP="00D47A7E">
      <w:pPr>
        <w:spacing w:line="276" w:lineRule="auto"/>
        <w:jc w:val="both"/>
        <w:rPr>
          <w:rFonts w:ascii="Calibri" w:eastAsia="Calibri" w:hAnsi="Calibri" w:cs="Times New Roman"/>
          <w:color w:val="595959" w:themeColor="text1" w:themeTint="A6"/>
        </w:rPr>
      </w:pPr>
      <w:r w:rsidRPr="009D1160">
        <w:rPr>
          <w:rFonts w:ascii="Calibri" w:eastAsia="Calibri" w:hAnsi="Calibri" w:cs="Times New Roman"/>
          <w:color w:val="595959" w:themeColor="text1" w:themeTint="A6"/>
        </w:rPr>
        <w:lastRenderedPageBreak/>
        <w:t xml:space="preserve">Ενδεικτικά, για προνοιακά αναπηρικά επιδόματα καταβλήθηκαν περίπου 852,4 εκατ. ευρώ (περίπου 20,7 εκατ. ευρώ περισσότερα από το 2020), για επιδόματα στέγασης και στεγαστικής συνδρομής περίπου 392 εκατ. ευρώ (περίπου 34,5 εκατ. ευρώ περισσότερα από το 2020). Για οικογενειακά επιδόματα και επιδόματα παιδιών καταβλήθηκαν περίπου 1,2 δις ευρώ [στα οποία περιλαμβάνονται, μεταξύ άλλων, περίπου 152,6 εκατ. ευρώ (περίπου 110 εκατ. ευρώ το 2020) για επίδομα γέννησης σε περίπου 151.000 δικαιούχους (107.049 το 2020) και περίπου 75.000 ευρώ σε προστατευόμενα τέκνα θανόντων σε φυσικές καταστροφές (44.000 λιγότερα από το 2020)]. Δαπάνη περίπου 653,5 εκατ. ευρώ αφορούσε την καταβολή του ελάχιστου εγγυημένου εισοδήματος (περίπου 20,5 εκατ. ευρώ λιγότερα από το 2020), ενώ καταβλήθηκαν περίπου 50,2 εκατ. ευρώ ως επίδομα κοινωνικής αλληλεγγύης υπερηλίκων (περίπου 43,8 το 2020) και 82,6 εκατ. ευρώ σε ανασφάλιστους υπερήλικες (περίπου 13 εκατ. ευρώ λιγότερα από το 2020). Η </w:t>
      </w:r>
      <w:hyperlink r:id="rId70" w:history="1">
        <w:r w:rsidRPr="009D1160">
          <w:rPr>
            <w:rFonts w:ascii="Calibri" w:eastAsia="Calibri" w:hAnsi="Calibri" w:cs="Times New Roman"/>
            <w:color w:val="595959" w:themeColor="text1" w:themeTint="A6"/>
            <w:u w:val="single"/>
          </w:rPr>
          <w:t>συνεισφορά του Δημοσίου</w:t>
        </w:r>
      </w:hyperlink>
      <w:r w:rsidRPr="009D1160">
        <w:rPr>
          <w:rFonts w:ascii="Calibri" w:eastAsia="Calibri" w:hAnsi="Calibri" w:cs="Times New Roman"/>
          <w:color w:val="595959" w:themeColor="text1" w:themeTint="A6"/>
          <w:vertAlign w:val="superscript"/>
        </w:rPr>
        <w:footnoteReference w:id="16"/>
      </w:r>
      <w:r w:rsidRPr="009D1160">
        <w:rPr>
          <w:rFonts w:ascii="Calibri" w:eastAsia="Calibri" w:hAnsi="Calibri" w:cs="Times New Roman"/>
          <w:color w:val="595959" w:themeColor="text1" w:themeTint="A6"/>
          <w:vertAlign w:val="superscript"/>
        </w:rPr>
        <w:t xml:space="preserve"> </w:t>
      </w:r>
      <w:r w:rsidRPr="009D1160">
        <w:rPr>
          <w:rFonts w:ascii="Calibri" w:eastAsia="Calibri" w:hAnsi="Calibri" w:cs="Times New Roman"/>
          <w:color w:val="595959" w:themeColor="text1" w:themeTint="A6"/>
        </w:rPr>
        <w:t xml:space="preserve">για την προστασία της κύριας κατοικίας οφειλετών (κόκκινα δάνεια) ανήρθε σε περισσότερα από 3 εκατ. ευρώ (995.022 ευρώ το 2020). Για το </w:t>
      </w:r>
      <w:hyperlink r:id="rId71" w:history="1">
        <w:r w:rsidRPr="009D1160">
          <w:rPr>
            <w:rFonts w:ascii="Calibri" w:eastAsia="Calibri" w:hAnsi="Calibri" w:cs="Times New Roman"/>
            <w:color w:val="595959" w:themeColor="text1" w:themeTint="A6"/>
            <w:u w:val="single"/>
          </w:rPr>
          <w:t>πρόγραμμα “Γέφυρα”</w:t>
        </w:r>
      </w:hyperlink>
      <w:r w:rsidRPr="009D1160">
        <w:rPr>
          <w:rFonts w:ascii="Calibri" w:eastAsia="Calibri" w:hAnsi="Calibri" w:cs="Times New Roman"/>
          <w:color w:val="595959" w:themeColor="text1" w:themeTint="A6"/>
          <w:vertAlign w:val="superscript"/>
        </w:rPr>
        <w:footnoteReference w:id="17"/>
      </w:r>
      <w:r w:rsidRPr="000F33C2">
        <w:t xml:space="preserve"> </w:t>
      </w:r>
      <w:r w:rsidRPr="009D1160">
        <w:rPr>
          <w:rFonts w:ascii="Calibri" w:eastAsia="Calibri" w:hAnsi="Calibri" w:cs="Times New Roman"/>
          <w:color w:val="595959" w:themeColor="text1" w:themeTint="A6"/>
        </w:rPr>
        <w:t>(πρόγραμμα επιδότησης α΄ κατοικίας ως μέτρο προστασίας των πολιτών απέναντι στις επιπτώσεις της πανδημίας COVID-19, από τον Νοέμβριο 2020 και μετά) καταβλήθηκαν περισσότερα από 223,6 εκατ. ευρώ.</w:t>
      </w:r>
    </w:p>
    <w:p w14:paraId="48FC2C67" w14:textId="77777777" w:rsidR="00D47A7E" w:rsidRDefault="00D47A7E" w:rsidP="00D47A7E">
      <w:pPr>
        <w:spacing w:after="0" w:line="276" w:lineRule="auto"/>
        <w:jc w:val="both"/>
        <w:rPr>
          <w:rFonts w:ascii="Calibri" w:eastAsia="Calibri" w:hAnsi="Calibri" w:cs="Times New Roman"/>
          <w:color w:val="595959" w:themeColor="text1" w:themeTint="A6"/>
        </w:rPr>
      </w:pPr>
      <w:r w:rsidRPr="009D1160">
        <w:rPr>
          <w:rFonts w:ascii="Calibri" w:eastAsia="Calibri" w:hAnsi="Calibri" w:cs="Times New Roman"/>
          <w:color w:val="595959" w:themeColor="text1" w:themeTint="A6"/>
        </w:rPr>
        <w:t>Στον επόμενο πίνακα φαίνεται αναλυτικά ο αριθμός των δικαιούχων επιδομάτων του ΟΠΕΚΑ, ανά επίδομα ανά μήνα.</w:t>
      </w:r>
    </w:p>
    <w:p w14:paraId="0D403D2B" w14:textId="77777777" w:rsidR="00D47A7E" w:rsidRPr="004E2D59" w:rsidRDefault="00D47A7E" w:rsidP="00D47A7E">
      <w:pPr>
        <w:spacing w:after="0" w:line="276" w:lineRule="auto"/>
        <w:jc w:val="both"/>
        <w:rPr>
          <w:color w:val="595959" w:themeColor="text1" w:themeTint="A6"/>
        </w:rPr>
      </w:pPr>
    </w:p>
    <w:p w14:paraId="7477549D" w14:textId="77777777" w:rsidR="00D47A7E" w:rsidRPr="004E2D59" w:rsidRDefault="00D47A7E" w:rsidP="00D47A7E">
      <w:pPr>
        <w:pStyle w:val="Caption"/>
        <w:keepNext/>
        <w:jc w:val="center"/>
        <w:rPr>
          <w:color w:val="595959" w:themeColor="text1" w:themeTint="A6"/>
        </w:rPr>
      </w:pPr>
      <w:bookmarkStart w:id="182" w:name="_Toc98160556"/>
      <w:r w:rsidRPr="004E2D59">
        <w:rPr>
          <w:color w:val="595959" w:themeColor="text1" w:themeTint="A6"/>
        </w:rPr>
        <w:t xml:space="preserve">Πίνακας </w:t>
      </w:r>
      <w:r w:rsidR="009B7AD0" w:rsidRPr="004E2D59">
        <w:rPr>
          <w:noProof/>
          <w:color w:val="595959" w:themeColor="text1" w:themeTint="A6"/>
        </w:rPr>
        <w:fldChar w:fldCharType="begin"/>
      </w:r>
      <w:r w:rsidRPr="004E2D59">
        <w:rPr>
          <w:noProof/>
          <w:color w:val="595959" w:themeColor="text1" w:themeTint="A6"/>
        </w:rPr>
        <w:instrText xml:space="preserve"> SEQ Πίνακας \* ARABIC </w:instrText>
      </w:r>
      <w:r w:rsidR="009B7AD0" w:rsidRPr="004E2D59">
        <w:rPr>
          <w:noProof/>
          <w:color w:val="595959" w:themeColor="text1" w:themeTint="A6"/>
        </w:rPr>
        <w:fldChar w:fldCharType="separate"/>
      </w:r>
      <w:r w:rsidR="003B23C4">
        <w:rPr>
          <w:noProof/>
          <w:color w:val="595959" w:themeColor="text1" w:themeTint="A6"/>
        </w:rPr>
        <w:t>13</w:t>
      </w:r>
      <w:r w:rsidR="009B7AD0" w:rsidRPr="004E2D59">
        <w:rPr>
          <w:noProof/>
          <w:color w:val="595959" w:themeColor="text1" w:themeTint="A6"/>
        </w:rPr>
        <w:fldChar w:fldCharType="end"/>
      </w:r>
      <w:r w:rsidRPr="004E2D59">
        <w:rPr>
          <w:color w:val="595959" w:themeColor="text1" w:themeTint="A6"/>
        </w:rPr>
        <w:t xml:space="preserve"> Αριθμός δικαιούχων επιδομάτων ΟΠΕΚΑ, Ιανουάριος – Δεκέμβριος 2020</w:t>
      </w:r>
      <w:bookmarkEnd w:id="182"/>
    </w:p>
    <w:tbl>
      <w:tblPr>
        <w:tblStyle w:val="TableGrid"/>
        <w:tblW w:w="0" w:type="auto"/>
        <w:jc w:val="center"/>
        <w:tblLook w:val="04A0" w:firstRow="1" w:lastRow="0" w:firstColumn="1" w:lastColumn="0" w:noHBand="0" w:noVBand="1"/>
      </w:tblPr>
      <w:tblGrid>
        <w:gridCol w:w="854"/>
        <w:gridCol w:w="674"/>
        <w:gridCol w:w="753"/>
        <w:gridCol w:w="580"/>
        <w:gridCol w:w="580"/>
        <w:gridCol w:w="580"/>
        <w:gridCol w:w="580"/>
        <w:gridCol w:w="580"/>
        <w:gridCol w:w="586"/>
        <w:gridCol w:w="690"/>
        <w:gridCol w:w="588"/>
        <w:gridCol w:w="618"/>
        <w:gridCol w:w="643"/>
      </w:tblGrid>
      <w:tr w:rsidR="00D47A7E" w:rsidRPr="001557C7" w14:paraId="549BFD5D" w14:textId="77777777" w:rsidTr="003F4366">
        <w:trPr>
          <w:jc w:val="center"/>
        </w:trPr>
        <w:tc>
          <w:tcPr>
            <w:tcW w:w="854" w:type="dxa"/>
            <w:tcBorders>
              <w:top w:val="nil"/>
              <w:left w:val="nil"/>
              <w:bottom w:val="single" w:sz="4" w:space="0" w:color="auto"/>
              <w:right w:val="nil"/>
            </w:tcBorders>
            <w:vAlign w:val="center"/>
          </w:tcPr>
          <w:p w14:paraId="20F5FB81"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p>
        </w:tc>
        <w:tc>
          <w:tcPr>
            <w:tcW w:w="2007" w:type="dxa"/>
            <w:gridSpan w:val="3"/>
            <w:tcBorders>
              <w:top w:val="nil"/>
              <w:left w:val="nil"/>
              <w:bottom w:val="single" w:sz="4" w:space="0" w:color="auto"/>
              <w:right w:val="nil"/>
            </w:tcBorders>
            <w:vAlign w:val="center"/>
          </w:tcPr>
          <w:p w14:paraId="17BE5011"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1ο Τρίμηνο</w:t>
            </w:r>
          </w:p>
        </w:tc>
        <w:tc>
          <w:tcPr>
            <w:tcW w:w="1740" w:type="dxa"/>
            <w:gridSpan w:val="3"/>
            <w:tcBorders>
              <w:top w:val="nil"/>
              <w:left w:val="nil"/>
              <w:bottom w:val="single" w:sz="4" w:space="0" w:color="auto"/>
              <w:right w:val="nil"/>
            </w:tcBorders>
            <w:vAlign w:val="center"/>
          </w:tcPr>
          <w:p w14:paraId="7B126B99"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2ο Τρίμηνο</w:t>
            </w:r>
          </w:p>
        </w:tc>
        <w:tc>
          <w:tcPr>
            <w:tcW w:w="1856" w:type="dxa"/>
            <w:gridSpan w:val="3"/>
            <w:tcBorders>
              <w:top w:val="nil"/>
              <w:left w:val="nil"/>
              <w:bottom w:val="single" w:sz="4" w:space="0" w:color="auto"/>
              <w:right w:val="nil"/>
            </w:tcBorders>
            <w:vAlign w:val="center"/>
          </w:tcPr>
          <w:p w14:paraId="0CB6BB1B"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3ο Τρίμηνο</w:t>
            </w:r>
          </w:p>
        </w:tc>
        <w:tc>
          <w:tcPr>
            <w:tcW w:w="1849" w:type="dxa"/>
            <w:gridSpan w:val="3"/>
            <w:tcBorders>
              <w:top w:val="nil"/>
              <w:left w:val="nil"/>
              <w:bottom w:val="single" w:sz="4" w:space="0" w:color="auto"/>
              <w:right w:val="nil"/>
            </w:tcBorders>
            <w:vAlign w:val="center"/>
          </w:tcPr>
          <w:p w14:paraId="5934AB49"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4ο Τρίμηνο</w:t>
            </w:r>
          </w:p>
        </w:tc>
      </w:tr>
      <w:tr w:rsidR="00D47A7E" w:rsidRPr="001557C7" w14:paraId="157DDF36" w14:textId="77777777" w:rsidTr="003F4366">
        <w:trPr>
          <w:jc w:val="center"/>
        </w:trPr>
        <w:tc>
          <w:tcPr>
            <w:tcW w:w="854" w:type="dxa"/>
            <w:tcBorders>
              <w:left w:val="nil"/>
              <w:bottom w:val="nil"/>
            </w:tcBorders>
            <w:vAlign w:val="center"/>
          </w:tcPr>
          <w:p w14:paraId="7F53BD8F"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p>
        </w:tc>
        <w:tc>
          <w:tcPr>
            <w:tcW w:w="674" w:type="dxa"/>
            <w:tcBorders>
              <w:bottom w:val="nil"/>
              <w:right w:val="nil"/>
            </w:tcBorders>
            <w:vAlign w:val="center"/>
          </w:tcPr>
          <w:p w14:paraId="4A9C22EA" w14:textId="77777777" w:rsidR="00D47A7E" w:rsidRPr="004E2D59" w:rsidRDefault="00D47A7E" w:rsidP="003F4366">
            <w:pPr>
              <w:spacing w:line="276" w:lineRule="auto"/>
              <w:ind w:left="56"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ΙΑΝΟΥΑΡΙΟΣ</w:t>
            </w:r>
          </w:p>
        </w:tc>
        <w:tc>
          <w:tcPr>
            <w:tcW w:w="753" w:type="dxa"/>
            <w:tcBorders>
              <w:left w:val="nil"/>
              <w:bottom w:val="nil"/>
              <w:right w:val="nil"/>
            </w:tcBorders>
            <w:vAlign w:val="center"/>
          </w:tcPr>
          <w:p w14:paraId="62F45089" w14:textId="77777777" w:rsidR="00D47A7E" w:rsidRPr="004E2D59" w:rsidRDefault="00D47A7E" w:rsidP="003F4366">
            <w:pPr>
              <w:spacing w:line="276" w:lineRule="auto"/>
              <w:ind w:left="56"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ΦΕΒΡΟΥΑΡΙΟΣ</w:t>
            </w:r>
          </w:p>
        </w:tc>
        <w:tc>
          <w:tcPr>
            <w:tcW w:w="580" w:type="dxa"/>
            <w:tcBorders>
              <w:left w:val="nil"/>
              <w:bottom w:val="nil"/>
            </w:tcBorders>
            <w:vAlign w:val="center"/>
          </w:tcPr>
          <w:p w14:paraId="51C27654"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ΜΑΡΤΙΟΣ</w:t>
            </w:r>
          </w:p>
        </w:tc>
        <w:tc>
          <w:tcPr>
            <w:tcW w:w="580" w:type="dxa"/>
            <w:tcBorders>
              <w:bottom w:val="nil"/>
              <w:right w:val="nil"/>
            </w:tcBorders>
            <w:vAlign w:val="center"/>
          </w:tcPr>
          <w:p w14:paraId="2C425733"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ΑΠΡΙΛΙΟΣ</w:t>
            </w:r>
          </w:p>
        </w:tc>
        <w:tc>
          <w:tcPr>
            <w:tcW w:w="580" w:type="dxa"/>
            <w:tcBorders>
              <w:left w:val="nil"/>
              <w:bottom w:val="nil"/>
              <w:right w:val="nil"/>
            </w:tcBorders>
            <w:vAlign w:val="center"/>
          </w:tcPr>
          <w:p w14:paraId="0817FB79"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ΜΑΪΟΣ</w:t>
            </w:r>
          </w:p>
        </w:tc>
        <w:tc>
          <w:tcPr>
            <w:tcW w:w="580" w:type="dxa"/>
            <w:tcBorders>
              <w:left w:val="nil"/>
              <w:bottom w:val="nil"/>
            </w:tcBorders>
            <w:vAlign w:val="center"/>
          </w:tcPr>
          <w:p w14:paraId="1B17106D"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ΙΟΥΝΙΟΣ</w:t>
            </w:r>
          </w:p>
        </w:tc>
        <w:tc>
          <w:tcPr>
            <w:tcW w:w="580" w:type="dxa"/>
            <w:tcBorders>
              <w:bottom w:val="nil"/>
              <w:right w:val="nil"/>
            </w:tcBorders>
            <w:vAlign w:val="center"/>
          </w:tcPr>
          <w:p w14:paraId="5EDDD34D"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ΙΟΥΛΙΟΣ</w:t>
            </w:r>
          </w:p>
        </w:tc>
        <w:tc>
          <w:tcPr>
            <w:tcW w:w="586" w:type="dxa"/>
            <w:tcBorders>
              <w:left w:val="nil"/>
              <w:bottom w:val="nil"/>
              <w:right w:val="nil"/>
            </w:tcBorders>
            <w:vAlign w:val="center"/>
          </w:tcPr>
          <w:p w14:paraId="7F002987"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ΑΥΓΟΥΣΤΟΣ</w:t>
            </w:r>
          </w:p>
        </w:tc>
        <w:tc>
          <w:tcPr>
            <w:tcW w:w="690" w:type="dxa"/>
            <w:tcBorders>
              <w:left w:val="nil"/>
              <w:bottom w:val="nil"/>
            </w:tcBorders>
            <w:vAlign w:val="center"/>
          </w:tcPr>
          <w:p w14:paraId="44462A36"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ΣΕΠΤΕΜΒΡΙΟΣ</w:t>
            </w:r>
          </w:p>
        </w:tc>
        <w:tc>
          <w:tcPr>
            <w:tcW w:w="588" w:type="dxa"/>
            <w:tcBorders>
              <w:bottom w:val="nil"/>
              <w:right w:val="nil"/>
            </w:tcBorders>
            <w:vAlign w:val="center"/>
          </w:tcPr>
          <w:p w14:paraId="52CE315B"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ΟΚΤΩΒΡΙΟΣ</w:t>
            </w:r>
          </w:p>
        </w:tc>
        <w:tc>
          <w:tcPr>
            <w:tcW w:w="618" w:type="dxa"/>
            <w:tcBorders>
              <w:left w:val="nil"/>
              <w:bottom w:val="nil"/>
              <w:right w:val="nil"/>
            </w:tcBorders>
            <w:vAlign w:val="center"/>
          </w:tcPr>
          <w:p w14:paraId="4B4864CC"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ΝΟΕΜΒΡΙΟΣ</w:t>
            </w:r>
          </w:p>
        </w:tc>
        <w:tc>
          <w:tcPr>
            <w:tcW w:w="643" w:type="dxa"/>
            <w:tcBorders>
              <w:left w:val="nil"/>
              <w:bottom w:val="nil"/>
              <w:right w:val="nil"/>
            </w:tcBorders>
            <w:vAlign w:val="center"/>
          </w:tcPr>
          <w:p w14:paraId="334FBFCD" w14:textId="77777777" w:rsidR="00D47A7E" w:rsidRPr="004E2D59" w:rsidRDefault="00D47A7E" w:rsidP="003F4366">
            <w:pPr>
              <w:spacing w:line="276" w:lineRule="auto"/>
              <w:ind w:hanging="113"/>
              <w:jc w:val="center"/>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ΔΕΚΕΜΒΡΙΟΣ</w:t>
            </w:r>
          </w:p>
        </w:tc>
      </w:tr>
      <w:tr w:rsidR="00D47A7E" w:rsidRPr="001557C7" w14:paraId="401E39DC" w14:textId="77777777" w:rsidTr="003F4366">
        <w:trPr>
          <w:jc w:val="center"/>
        </w:trPr>
        <w:tc>
          <w:tcPr>
            <w:tcW w:w="854" w:type="dxa"/>
            <w:tcBorders>
              <w:top w:val="nil"/>
              <w:left w:val="nil"/>
              <w:bottom w:val="nil"/>
            </w:tcBorders>
            <w:vAlign w:val="center"/>
          </w:tcPr>
          <w:p w14:paraId="18E8D5E3"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74" w:type="dxa"/>
            <w:tcBorders>
              <w:top w:val="nil"/>
              <w:bottom w:val="nil"/>
              <w:right w:val="nil"/>
            </w:tcBorders>
            <w:vAlign w:val="center"/>
          </w:tcPr>
          <w:p w14:paraId="376232F1"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753" w:type="dxa"/>
            <w:tcBorders>
              <w:top w:val="nil"/>
              <w:left w:val="nil"/>
              <w:bottom w:val="nil"/>
              <w:right w:val="nil"/>
            </w:tcBorders>
            <w:vAlign w:val="center"/>
          </w:tcPr>
          <w:p w14:paraId="4D491A59"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08849729"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61A7B6AA"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580" w:type="dxa"/>
            <w:tcBorders>
              <w:top w:val="nil"/>
              <w:left w:val="nil"/>
              <w:bottom w:val="nil"/>
              <w:right w:val="nil"/>
            </w:tcBorders>
            <w:vAlign w:val="center"/>
          </w:tcPr>
          <w:p w14:paraId="7A178F7D"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74E8B8A6"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1F00BD74"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586" w:type="dxa"/>
            <w:tcBorders>
              <w:top w:val="nil"/>
              <w:left w:val="nil"/>
              <w:bottom w:val="nil"/>
              <w:right w:val="nil"/>
            </w:tcBorders>
            <w:vAlign w:val="center"/>
          </w:tcPr>
          <w:p w14:paraId="7A70DC6F"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90" w:type="dxa"/>
            <w:tcBorders>
              <w:top w:val="nil"/>
              <w:left w:val="nil"/>
              <w:bottom w:val="nil"/>
            </w:tcBorders>
            <w:vAlign w:val="center"/>
          </w:tcPr>
          <w:p w14:paraId="56C59199"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588" w:type="dxa"/>
            <w:tcBorders>
              <w:top w:val="nil"/>
              <w:bottom w:val="nil"/>
              <w:right w:val="nil"/>
            </w:tcBorders>
            <w:vAlign w:val="center"/>
          </w:tcPr>
          <w:p w14:paraId="746F7D69"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18" w:type="dxa"/>
            <w:tcBorders>
              <w:top w:val="nil"/>
              <w:left w:val="nil"/>
              <w:bottom w:val="nil"/>
              <w:right w:val="nil"/>
            </w:tcBorders>
            <w:vAlign w:val="center"/>
          </w:tcPr>
          <w:p w14:paraId="742B1562"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43" w:type="dxa"/>
            <w:tcBorders>
              <w:top w:val="nil"/>
              <w:left w:val="nil"/>
              <w:bottom w:val="nil"/>
              <w:right w:val="nil"/>
            </w:tcBorders>
            <w:vAlign w:val="center"/>
          </w:tcPr>
          <w:p w14:paraId="33E054B4"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r>
      <w:tr w:rsidR="00D47A7E" w:rsidRPr="001557C7" w14:paraId="5B4784CA" w14:textId="77777777" w:rsidTr="003F4366">
        <w:trPr>
          <w:jc w:val="center"/>
        </w:trPr>
        <w:tc>
          <w:tcPr>
            <w:tcW w:w="854" w:type="dxa"/>
            <w:tcBorders>
              <w:top w:val="nil"/>
              <w:left w:val="nil"/>
              <w:bottom w:val="nil"/>
            </w:tcBorders>
            <w:vAlign w:val="center"/>
          </w:tcPr>
          <w:p w14:paraId="629E76CD" w14:textId="77777777" w:rsidR="00D47A7E" w:rsidRPr="004E2D59" w:rsidRDefault="00D47A7E" w:rsidP="003F4366">
            <w:pPr>
              <w:spacing w:line="276" w:lineRule="auto"/>
              <w:jc w:val="both"/>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Στέγασης</w:t>
            </w:r>
          </w:p>
        </w:tc>
        <w:tc>
          <w:tcPr>
            <w:tcW w:w="674" w:type="dxa"/>
            <w:tcBorders>
              <w:top w:val="nil"/>
              <w:bottom w:val="nil"/>
              <w:right w:val="nil"/>
            </w:tcBorders>
            <w:vAlign w:val="center"/>
          </w:tcPr>
          <w:p w14:paraId="7440740E"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258.058</w:t>
            </w:r>
          </w:p>
        </w:tc>
        <w:tc>
          <w:tcPr>
            <w:tcW w:w="753" w:type="dxa"/>
            <w:tcBorders>
              <w:top w:val="nil"/>
              <w:left w:val="nil"/>
              <w:bottom w:val="nil"/>
              <w:right w:val="nil"/>
            </w:tcBorders>
            <w:vAlign w:val="center"/>
          </w:tcPr>
          <w:p w14:paraId="67B13844"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265.361</w:t>
            </w:r>
          </w:p>
        </w:tc>
        <w:tc>
          <w:tcPr>
            <w:tcW w:w="580" w:type="dxa"/>
            <w:tcBorders>
              <w:top w:val="nil"/>
              <w:left w:val="nil"/>
              <w:bottom w:val="nil"/>
            </w:tcBorders>
            <w:vAlign w:val="center"/>
          </w:tcPr>
          <w:p w14:paraId="14C87A3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271.644</w:t>
            </w:r>
          </w:p>
        </w:tc>
        <w:tc>
          <w:tcPr>
            <w:tcW w:w="580" w:type="dxa"/>
            <w:tcBorders>
              <w:top w:val="nil"/>
              <w:bottom w:val="nil"/>
              <w:right w:val="nil"/>
            </w:tcBorders>
            <w:vAlign w:val="center"/>
          </w:tcPr>
          <w:p w14:paraId="6A05974C"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277.259</w:t>
            </w:r>
          </w:p>
        </w:tc>
        <w:tc>
          <w:tcPr>
            <w:tcW w:w="580" w:type="dxa"/>
            <w:tcBorders>
              <w:top w:val="nil"/>
              <w:left w:val="nil"/>
              <w:bottom w:val="nil"/>
              <w:right w:val="nil"/>
            </w:tcBorders>
            <w:vAlign w:val="center"/>
          </w:tcPr>
          <w:p w14:paraId="738A4075"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281.494</w:t>
            </w:r>
          </w:p>
        </w:tc>
        <w:tc>
          <w:tcPr>
            <w:tcW w:w="580" w:type="dxa"/>
            <w:tcBorders>
              <w:top w:val="nil"/>
              <w:left w:val="nil"/>
              <w:bottom w:val="nil"/>
            </w:tcBorders>
            <w:vAlign w:val="center"/>
          </w:tcPr>
          <w:p w14:paraId="19D7C064"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252.668</w:t>
            </w:r>
          </w:p>
        </w:tc>
        <w:tc>
          <w:tcPr>
            <w:tcW w:w="580" w:type="dxa"/>
            <w:tcBorders>
              <w:top w:val="nil"/>
              <w:bottom w:val="nil"/>
              <w:right w:val="nil"/>
            </w:tcBorders>
            <w:vAlign w:val="center"/>
          </w:tcPr>
          <w:p w14:paraId="04FC87C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243.226</w:t>
            </w:r>
          </w:p>
        </w:tc>
        <w:tc>
          <w:tcPr>
            <w:tcW w:w="586" w:type="dxa"/>
            <w:tcBorders>
              <w:top w:val="nil"/>
              <w:left w:val="nil"/>
              <w:bottom w:val="nil"/>
              <w:right w:val="nil"/>
            </w:tcBorders>
            <w:vAlign w:val="center"/>
          </w:tcPr>
          <w:p w14:paraId="66F1DA1F"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245.173</w:t>
            </w:r>
          </w:p>
        </w:tc>
        <w:tc>
          <w:tcPr>
            <w:tcW w:w="690" w:type="dxa"/>
            <w:tcBorders>
              <w:top w:val="nil"/>
              <w:left w:val="nil"/>
              <w:bottom w:val="nil"/>
            </w:tcBorders>
            <w:vAlign w:val="center"/>
          </w:tcPr>
          <w:p w14:paraId="6749C8A0"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257.953</w:t>
            </w:r>
          </w:p>
        </w:tc>
        <w:tc>
          <w:tcPr>
            <w:tcW w:w="588" w:type="dxa"/>
            <w:tcBorders>
              <w:top w:val="nil"/>
              <w:bottom w:val="nil"/>
              <w:right w:val="nil"/>
            </w:tcBorders>
            <w:vAlign w:val="center"/>
          </w:tcPr>
          <w:p w14:paraId="14A29B83"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271.321</w:t>
            </w:r>
          </w:p>
        </w:tc>
        <w:tc>
          <w:tcPr>
            <w:tcW w:w="618" w:type="dxa"/>
            <w:tcBorders>
              <w:top w:val="nil"/>
              <w:left w:val="nil"/>
              <w:bottom w:val="nil"/>
              <w:right w:val="nil"/>
            </w:tcBorders>
            <w:vAlign w:val="center"/>
          </w:tcPr>
          <w:p w14:paraId="3D34ADF5"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281.450</w:t>
            </w:r>
          </w:p>
        </w:tc>
        <w:tc>
          <w:tcPr>
            <w:tcW w:w="643" w:type="dxa"/>
            <w:tcBorders>
              <w:top w:val="nil"/>
              <w:left w:val="nil"/>
              <w:bottom w:val="nil"/>
              <w:right w:val="nil"/>
            </w:tcBorders>
            <w:vAlign w:val="center"/>
          </w:tcPr>
          <w:p w14:paraId="290260C7"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274.924</w:t>
            </w:r>
          </w:p>
        </w:tc>
      </w:tr>
      <w:tr w:rsidR="00D47A7E" w:rsidRPr="001557C7" w14:paraId="6909EBB4" w14:textId="77777777" w:rsidTr="003F4366">
        <w:trPr>
          <w:jc w:val="center"/>
        </w:trPr>
        <w:tc>
          <w:tcPr>
            <w:tcW w:w="854" w:type="dxa"/>
            <w:tcBorders>
              <w:top w:val="nil"/>
              <w:left w:val="nil"/>
              <w:bottom w:val="nil"/>
            </w:tcBorders>
            <w:vAlign w:val="center"/>
          </w:tcPr>
          <w:p w14:paraId="61BE12B2"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74" w:type="dxa"/>
            <w:tcBorders>
              <w:top w:val="nil"/>
              <w:bottom w:val="nil"/>
              <w:right w:val="nil"/>
            </w:tcBorders>
            <w:vAlign w:val="center"/>
          </w:tcPr>
          <w:p w14:paraId="53E02449"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753" w:type="dxa"/>
            <w:tcBorders>
              <w:top w:val="nil"/>
              <w:left w:val="nil"/>
              <w:bottom w:val="nil"/>
              <w:right w:val="nil"/>
            </w:tcBorders>
            <w:vAlign w:val="center"/>
          </w:tcPr>
          <w:p w14:paraId="58DCD464"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2ACCF24C"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13780BA7"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right w:val="nil"/>
            </w:tcBorders>
            <w:vAlign w:val="center"/>
          </w:tcPr>
          <w:p w14:paraId="7F63C86D"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320CF7BB"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36889DC5"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6" w:type="dxa"/>
            <w:tcBorders>
              <w:top w:val="nil"/>
              <w:left w:val="nil"/>
              <w:bottom w:val="nil"/>
              <w:right w:val="nil"/>
            </w:tcBorders>
            <w:vAlign w:val="center"/>
          </w:tcPr>
          <w:p w14:paraId="32196A6E"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90" w:type="dxa"/>
            <w:tcBorders>
              <w:top w:val="nil"/>
              <w:left w:val="nil"/>
              <w:bottom w:val="nil"/>
            </w:tcBorders>
            <w:vAlign w:val="center"/>
          </w:tcPr>
          <w:p w14:paraId="1414CBF7"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8" w:type="dxa"/>
            <w:tcBorders>
              <w:top w:val="nil"/>
              <w:bottom w:val="nil"/>
              <w:right w:val="nil"/>
            </w:tcBorders>
            <w:vAlign w:val="center"/>
          </w:tcPr>
          <w:p w14:paraId="7CE17993"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18" w:type="dxa"/>
            <w:tcBorders>
              <w:top w:val="nil"/>
              <w:left w:val="nil"/>
              <w:bottom w:val="nil"/>
              <w:right w:val="nil"/>
            </w:tcBorders>
            <w:vAlign w:val="center"/>
          </w:tcPr>
          <w:p w14:paraId="7101FB1A"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43" w:type="dxa"/>
            <w:tcBorders>
              <w:top w:val="nil"/>
              <w:left w:val="nil"/>
              <w:bottom w:val="nil"/>
              <w:right w:val="nil"/>
            </w:tcBorders>
            <w:vAlign w:val="center"/>
          </w:tcPr>
          <w:p w14:paraId="740B1AA4"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r>
      <w:tr w:rsidR="00D47A7E" w:rsidRPr="001557C7" w14:paraId="223847B8" w14:textId="77777777" w:rsidTr="003F4366">
        <w:trPr>
          <w:jc w:val="center"/>
        </w:trPr>
        <w:tc>
          <w:tcPr>
            <w:tcW w:w="854" w:type="dxa"/>
            <w:tcBorders>
              <w:top w:val="nil"/>
              <w:left w:val="nil"/>
              <w:bottom w:val="nil"/>
            </w:tcBorders>
            <w:vAlign w:val="center"/>
          </w:tcPr>
          <w:p w14:paraId="3CA44869" w14:textId="77777777" w:rsidR="00D47A7E" w:rsidRPr="004E2D59" w:rsidRDefault="00D47A7E" w:rsidP="003F4366">
            <w:pPr>
              <w:spacing w:line="276" w:lineRule="auto"/>
              <w:jc w:val="both"/>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Ελάχιστο εγγυημένο εισόδημα</w:t>
            </w:r>
          </w:p>
        </w:tc>
        <w:tc>
          <w:tcPr>
            <w:tcW w:w="674" w:type="dxa"/>
            <w:tcBorders>
              <w:top w:val="nil"/>
              <w:bottom w:val="nil"/>
              <w:right w:val="nil"/>
            </w:tcBorders>
            <w:vAlign w:val="center"/>
          </w:tcPr>
          <w:p w14:paraId="057AACD4"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263.079</w:t>
            </w:r>
          </w:p>
        </w:tc>
        <w:tc>
          <w:tcPr>
            <w:tcW w:w="753" w:type="dxa"/>
            <w:tcBorders>
              <w:top w:val="nil"/>
              <w:left w:val="nil"/>
              <w:bottom w:val="nil"/>
              <w:right w:val="nil"/>
            </w:tcBorders>
            <w:vAlign w:val="center"/>
          </w:tcPr>
          <w:p w14:paraId="4E44FBD5"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266.495</w:t>
            </w:r>
          </w:p>
        </w:tc>
        <w:tc>
          <w:tcPr>
            <w:tcW w:w="580" w:type="dxa"/>
            <w:tcBorders>
              <w:top w:val="nil"/>
              <w:left w:val="nil"/>
              <w:bottom w:val="nil"/>
            </w:tcBorders>
            <w:vAlign w:val="center"/>
          </w:tcPr>
          <w:p w14:paraId="477E0AC5"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269.948</w:t>
            </w:r>
          </w:p>
        </w:tc>
        <w:tc>
          <w:tcPr>
            <w:tcW w:w="580" w:type="dxa"/>
            <w:tcBorders>
              <w:top w:val="nil"/>
              <w:bottom w:val="nil"/>
              <w:right w:val="nil"/>
            </w:tcBorders>
            <w:vAlign w:val="center"/>
          </w:tcPr>
          <w:p w14:paraId="49701317"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273.150</w:t>
            </w:r>
          </w:p>
        </w:tc>
        <w:tc>
          <w:tcPr>
            <w:tcW w:w="580" w:type="dxa"/>
            <w:tcBorders>
              <w:top w:val="nil"/>
              <w:left w:val="nil"/>
              <w:bottom w:val="nil"/>
              <w:right w:val="nil"/>
            </w:tcBorders>
            <w:vAlign w:val="center"/>
          </w:tcPr>
          <w:p w14:paraId="6B9925EE"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275.754</w:t>
            </w:r>
          </w:p>
        </w:tc>
        <w:tc>
          <w:tcPr>
            <w:tcW w:w="580" w:type="dxa"/>
            <w:tcBorders>
              <w:top w:val="nil"/>
              <w:left w:val="nil"/>
              <w:bottom w:val="nil"/>
            </w:tcBorders>
            <w:vAlign w:val="center"/>
          </w:tcPr>
          <w:p w14:paraId="6D510DB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261.622</w:t>
            </w:r>
          </w:p>
        </w:tc>
        <w:tc>
          <w:tcPr>
            <w:tcW w:w="580" w:type="dxa"/>
            <w:tcBorders>
              <w:top w:val="nil"/>
              <w:bottom w:val="nil"/>
              <w:right w:val="nil"/>
            </w:tcBorders>
            <w:vAlign w:val="center"/>
          </w:tcPr>
          <w:p w14:paraId="5988728F"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230.244</w:t>
            </w:r>
          </w:p>
        </w:tc>
        <w:tc>
          <w:tcPr>
            <w:tcW w:w="586" w:type="dxa"/>
            <w:tcBorders>
              <w:top w:val="nil"/>
              <w:left w:val="nil"/>
              <w:bottom w:val="nil"/>
              <w:right w:val="nil"/>
            </w:tcBorders>
            <w:vAlign w:val="center"/>
          </w:tcPr>
          <w:p w14:paraId="629FB7A2"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214.990</w:t>
            </w:r>
          </w:p>
        </w:tc>
        <w:tc>
          <w:tcPr>
            <w:tcW w:w="690" w:type="dxa"/>
            <w:tcBorders>
              <w:top w:val="nil"/>
              <w:left w:val="nil"/>
              <w:bottom w:val="nil"/>
            </w:tcBorders>
            <w:vAlign w:val="center"/>
          </w:tcPr>
          <w:p w14:paraId="245499F8"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216.608</w:t>
            </w:r>
          </w:p>
        </w:tc>
        <w:tc>
          <w:tcPr>
            <w:tcW w:w="588" w:type="dxa"/>
            <w:tcBorders>
              <w:top w:val="nil"/>
              <w:bottom w:val="nil"/>
              <w:right w:val="nil"/>
            </w:tcBorders>
            <w:vAlign w:val="center"/>
          </w:tcPr>
          <w:p w14:paraId="5CA389F2"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230.609</w:t>
            </w:r>
          </w:p>
        </w:tc>
        <w:tc>
          <w:tcPr>
            <w:tcW w:w="618" w:type="dxa"/>
            <w:tcBorders>
              <w:top w:val="nil"/>
              <w:left w:val="nil"/>
              <w:bottom w:val="nil"/>
              <w:right w:val="nil"/>
            </w:tcBorders>
            <w:vAlign w:val="center"/>
          </w:tcPr>
          <w:p w14:paraId="08EFF45D"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238.537</w:t>
            </w:r>
          </w:p>
        </w:tc>
        <w:tc>
          <w:tcPr>
            <w:tcW w:w="643" w:type="dxa"/>
            <w:tcBorders>
              <w:top w:val="nil"/>
              <w:left w:val="nil"/>
              <w:bottom w:val="nil"/>
              <w:right w:val="nil"/>
            </w:tcBorders>
            <w:vAlign w:val="center"/>
          </w:tcPr>
          <w:p w14:paraId="787E5964"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243.005</w:t>
            </w:r>
          </w:p>
        </w:tc>
      </w:tr>
      <w:tr w:rsidR="00D47A7E" w:rsidRPr="001557C7" w14:paraId="4AFA826F" w14:textId="77777777" w:rsidTr="003F4366">
        <w:trPr>
          <w:jc w:val="center"/>
        </w:trPr>
        <w:tc>
          <w:tcPr>
            <w:tcW w:w="854" w:type="dxa"/>
            <w:tcBorders>
              <w:top w:val="nil"/>
              <w:left w:val="nil"/>
              <w:bottom w:val="nil"/>
            </w:tcBorders>
            <w:vAlign w:val="center"/>
          </w:tcPr>
          <w:p w14:paraId="64241105"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74" w:type="dxa"/>
            <w:tcBorders>
              <w:top w:val="nil"/>
              <w:bottom w:val="nil"/>
              <w:right w:val="nil"/>
            </w:tcBorders>
            <w:vAlign w:val="center"/>
          </w:tcPr>
          <w:p w14:paraId="56ADC8FA"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753" w:type="dxa"/>
            <w:tcBorders>
              <w:top w:val="nil"/>
              <w:left w:val="nil"/>
              <w:bottom w:val="nil"/>
              <w:right w:val="nil"/>
            </w:tcBorders>
            <w:vAlign w:val="center"/>
          </w:tcPr>
          <w:p w14:paraId="640408B1"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09CE6165"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4D7B132B"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right w:val="nil"/>
            </w:tcBorders>
            <w:vAlign w:val="center"/>
          </w:tcPr>
          <w:p w14:paraId="059B2A4C"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2CB258A3"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50FF3370"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6" w:type="dxa"/>
            <w:tcBorders>
              <w:top w:val="nil"/>
              <w:left w:val="nil"/>
              <w:bottom w:val="nil"/>
              <w:right w:val="nil"/>
            </w:tcBorders>
            <w:vAlign w:val="center"/>
          </w:tcPr>
          <w:p w14:paraId="696541CD"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90" w:type="dxa"/>
            <w:tcBorders>
              <w:top w:val="nil"/>
              <w:left w:val="nil"/>
              <w:bottom w:val="nil"/>
            </w:tcBorders>
            <w:vAlign w:val="center"/>
          </w:tcPr>
          <w:p w14:paraId="6C9A47D0"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8" w:type="dxa"/>
            <w:tcBorders>
              <w:top w:val="nil"/>
              <w:bottom w:val="nil"/>
              <w:right w:val="nil"/>
            </w:tcBorders>
            <w:vAlign w:val="center"/>
          </w:tcPr>
          <w:p w14:paraId="75C1D771"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18" w:type="dxa"/>
            <w:tcBorders>
              <w:top w:val="nil"/>
              <w:left w:val="nil"/>
              <w:bottom w:val="nil"/>
              <w:right w:val="nil"/>
            </w:tcBorders>
            <w:vAlign w:val="center"/>
          </w:tcPr>
          <w:p w14:paraId="28730503"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43" w:type="dxa"/>
            <w:tcBorders>
              <w:top w:val="nil"/>
              <w:left w:val="nil"/>
              <w:bottom w:val="nil"/>
              <w:right w:val="nil"/>
            </w:tcBorders>
            <w:vAlign w:val="center"/>
          </w:tcPr>
          <w:p w14:paraId="5F93FA69"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r>
      <w:tr w:rsidR="00D47A7E" w:rsidRPr="001557C7" w14:paraId="15748ACC" w14:textId="77777777" w:rsidTr="003F4366">
        <w:trPr>
          <w:jc w:val="center"/>
        </w:trPr>
        <w:tc>
          <w:tcPr>
            <w:tcW w:w="854" w:type="dxa"/>
            <w:tcBorders>
              <w:top w:val="nil"/>
              <w:left w:val="nil"/>
              <w:bottom w:val="nil"/>
            </w:tcBorders>
            <w:vAlign w:val="center"/>
          </w:tcPr>
          <w:p w14:paraId="076AB292" w14:textId="77777777" w:rsidR="00D47A7E" w:rsidRPr="004E2D59" w:rsidRDefault="00D47A7E" w:rsidP="003F4366">
            <w:pPr>
              <w:spacing w:line="276" w:lineRule="auto"/>
              <w:jc w:val="both"/>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Αναπηρικά</w:t>
            </w:r>
          </w:p>
        </w:tc>
        <w:tc>
          <w:tcPr>
            <w:tcW w:w="674" w:type="dxa"/>
            <w:tcBorders>
              <w:top w:val="nil"/>
              <w:bottom w:val="nil"/>
              <w:right w:val="nil"/>
            </w:tcBorders>
            <w:vAlign w:val="center"/>
          </w:tcPr>
          <w:p w14:paraId="23514124"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168.730</w:t>
            </w:r>
          </w:p>
        </w:tc>
        <w:tc>
          <w:tcPr>
            <w:tcW w:w="753" w:type="dxa"/>
            <w:tcBorders>
              <w:top w:val="nil"/>
              <w:left w:val="nil"/>
              <w:bottom w:val="nil"/>
              <w:right w:val="nil"/>
            </w:tcBorders>
            <w:vAlign w:val="center"/>
          </w:tcPr>
          <w:p w14:paraId="7F3CBB18"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168.817</w:t>
            </w:r>
          </w:p>
        </w:tc>
        <w:tc>
          <w:tcPr>
            <w:tcW w:w="580" w:type="dxa"/>
            <w:tcBorders>
              <w:top w:val="nil"/>
              <w:left w:val="nil"/>
              <w:bottom w:val="nil"/>
            </w:tcBorders>
            <w:vAlign w:val="center"/>
          </w:tcPr>
          <w:p w14:paraId="57E290B0"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169.720</w:t>
            </w:r>
          </w:p>
        </w:tc>
        <w:tc>
          <w:tcPr>
            <w:tcW w:w="580" w:type="dxa"/>
            <w:tcBorders>
              <w:top w:val="nil"/>
              <w:bottom w:val="nil"/>
              <w:right w:val="nil"/>
            </w:tcBorders>
            <w:vAlign w:val="center"/>
          </w:tcPr>
          <w:p w14:paraId="29D58B47"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170.517</w:t>
            </w:r>
          </w:p>
        </w:tc>
        <w:tc>
          <w:tcPr>
            <w:tcW w:w="580" w:type="dxa"/>
            <w:tcBorders>
              <w:top w:val="nil"/>
              <w:left w:val="nil"/>
              <w:bottom w:val="nil"/>
              <w:right w:val="nil"/>
            </w:tcBorders>
            <w:vAlign w:val="center"/>
          </w:tcPr>
          <w:p w14:paraId="004CE662"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171.248</w:t>
            </w:r>
          </w:p>
        </w:tc>
        <w:tc>
          <w:tcPr>
            <w:tcW w:w="580" w:type="dxa"/>
            <w:tcBorders>
              <w:top w:val="nil"/>
              <w:left w:val="nil"/>
              <w:bottom w:val="nil"/>
            </w:tcBorders>
            <w:vAlign w:val="center"/>
          </w:tcPr>
          <w:p w14:paraId="212EEAEF"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171.947</w:t>
            </w:r>
          </w:p>
        </w:tc>
        <w:tc>
          <w:tcPr>
            <w:tcW w:w="580" w:type="dxa"/>
            <w:tcBorders>
              <w:top w:val="nil"/>
              <w:bottom w:val="nil"/>
              <w:right w:val="nil"/>
            </w:tcBorders>
            <w:vAlign w:val="center"/>
          </w:tcPr>
          <w:p w14:paraId="1FF7A88C"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172.369</w:t>
            </w:r>
          </w:p>
        </w:tc>
        <w:tc>
          <w:tcPr>
            <w:tcW w:w="586" w:type="dxa"/>
            <w:tcBorders>
              <w:top w:val="nil"/>
              <w:left w:val="nil"/>
              <w:bottom w:val="nil"/>
              <w:right w:val="nil"/>
            </w:tcBorders>
            <w:vAlign w:val="center"/>
          </w:tcPr>
          <w:p w14:paraId="7B09BCED"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172.269</w:t>
            </w:r>
          </w:p>
        </w:tc>
        <w:tc>
          <w:tcPr>
            <w:tcW w:w="690" w:type="dxa"/>
            <w:tcBorders>
              <w:top w:val="nil"/>
              <w:left w:val="nil"/>
              <w:bottom w:val="nil"/>
            </w:tcBorders>
            <w:vAlign w:val="center"/>
          </w:tcPr>
          <w:p w14:paraId="3FA1C78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172.973</w:t>
            </w:r>
          </w:p>
        </w:tc>
        <w:tc>
          <w:tcPr>
            <w:tcW w:w="588" w:type="dxa"/>
            <w:tcBorders>
              <w:top w:val="nil"/>
              <w:bottom w:val="nil"/>
              <w:right w:val="nil"/>
            </w:tcBorders>
            <w:vAlign w:val="center"/>
          </w:tcPr>
          <w:p w14:paraId="3C709AED"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173.497</w:t>
            </w:r>
          </w:p>
        </w:tc>
        <w:tc>
          <w:tcPr>
            <w:tcW w:w="618" w:type="dxa"/>
            <w:tcBorders>
              <w:top w:val="nil"/>
              <w:left w:val="nil"/>
              <w:bottom w:val="nil"/>
              <w:right w:val="nil"/>
            </w:tcBorders>
            <w:vAlign w:val="center"/>
          </w:tcPr>
          <w:p w14:paraId="46F44CDD"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173.827</w:t>
            </w:r>
          </w:p>
        </w:tc>
        <w:tc>
          <w:tcPr>
            <w:tcW w:w="643" w:type="dxa"/>
            <w:tcBorders>
              <w:top w:val="nil"/>
              <w:left w:val="nil"/>
              <w:bottom w:val="nil"/>
              <w:right w:val="nil"/>
            </w:tcBorders>
            <w:vAlign w:val="center"/>
          </w:tcPr>
          <w:p w14:paraId="2535A12A"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173.859</w:t>
            </w:r>
          </w:p>
        </w:tc>
      </w:tr>
      <w:tr w:rsidR="00D47A7E" w:rsidRPr="001557C7" w14:paraId="02E95F44" w14:textId="77777777" w:rsidTr="003F4366">
        <w:trPr>
          <w:jc w:val="center"/>
        </w:trPr>
        <w:tc>
          <w:tcPr>
            <w:tcW w:w="854" w:type="dxa"/>
            <w:tcBorders>
              <w:top w:val="nil"/>
              <w:left w:val="nil"/>
              <w:bottom w:val="nil"/>
            </w:tcBorders>
            <w:vAlign w:val="center"/>
          </w:tcPr>
          <w:p w14:paraId="32FD72FA"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74" w:type="dxa"/>
            <w:tcBorders>
              <w:top w:val="nil"/>
              <w:bottom w:val="nil"/>
              <w:right w:val="nil"/>
            </w:tcBorders>
            <w:vAlign w:val="center"/>
          </w:tcPr>
          <w:p w14:paraId="4030A382"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753" w:type="dxa"/>
            <w:tcBorders>
              <w:top w:val="nil"/>
              <w:left w:val="nil"/>
              <w:bottom w:val="nil"/>
              <w:right w:val="nil"/>
            </w:tcBorders>
            <w:vAlign w:val="center"/>
          </w:tcPr>
          <w:p w14:paraId="24FD7F08"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2BFF105A"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73231A3E"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right w:val="nil"/>
            </w:tcBorders>
            <w:vAlign w:val="center"/>
          </w:tcPr>
          <w:p w14:paraId="24B2BCA7"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77FC1D85"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1E0562C4"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6" w:type="dxa"/>
            <w:tcBorders>
              <w:top w:val="nil"/>
              <w:left w:val="nil"/>
              <w:bottom w:val="nil"/>
              <w:right w:val="nil"/>
            </w:tcBorders>
            <w:vAlign w:val="center"/>
          </w:tcPr>
          <w:p w14:paraId="4FAABEF6"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90" w:type="dxa"/>
            <w:tcBorders>
              <w:top w:val="nil"/>
              <w:left w:val="nil"/>
              <w:bottom w:val="nil"/>
            </w:tcBorders>
            <w:vAlign w:val="center"/>
          </w:tcPr>
          <w:p w14:paraId="646CC153"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8" w:type="dxa"/>
            <w:tcBorders>
              <w:top w:val="nil"/>
              <w:bottom w:val="nil"/>
              <w:right w:val="nil"/>
            </w:tcBorders>
            <w:vAlign w:val="center"/>
          </w:tcPr>
          <w:p w14:paraId="3B4184D0"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18" w:type="dxa"/>
            <w:tcBorders>
              <w:top w:val="nil"/>
              <w:left w:val="nil"/>
              <w:bottom w:val="nil"/>
              <w:right w:val="nil"/>
            </w:tcBorders>
            <w:vAlign w:val="center"/>
          </w:tcPr>
          <w:p w14:paraId="5B90FC79"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43" w:type="dxa"/>
            <w:tcBorders>
              <w:top w:val="nil"/>
              <w:left w:val="nil"/>
              <w:bottom w:val="nil"/>
              <w:right w:val="nil"/>
            </w:tcBorders>
            <w:vAlign w:val="center"/>
          </w:tcPr>
          <w:p w14:paraId="643290C9"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r>
      <w:tr w:rsidR="00D47A7E" w:rsidRPr="001557C7" w14:paraId="501D2E5F" w14:textId="77777777" w:rsidTr="003F4366">
        <w:trPr>
          <w:jc w:val="center"/>
        </w:trPr>
        <w:tc>
          <w:tcPr>
            <w:tcW w:w="854" w:type="dxa"/>
            <w:tcBorders>
              <w:top w:val="nil"/>
              <w:left w:val="nil"/>
              <w:bottom w:val="nil"/>
            </w:tcBorders>
            <w:vAlign w:val="center"/>
          </w:tcPr>
          <w:p w14:paraId="4DF86AED" w14:textId="77777777" w:rsidR="00D47A7E" w:rsidRPr="004E2D59" w:rsidRDefault="00D47A7E" w:rsidP="003F4366">
            <w:pPr>
              <w:spacing w:line="276" w:lineRule="auto"/>
              <w:jc w:val="both"/>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Ανασφάλιστοι υπερήλικες</w:t>
            </w:r>
          </w:p>
        </w:tc>
        <w:tc>
          <w:tcPr>
            <w:tcW w:w="674" w:type="dxa"/>
            <w:tcBorders>
              <w:top w:val="nil"/>
              <w:bottom w:val="nil"/>
              <w:right w:val="nil"/>
            </w:tcBorders>
            <w:vAlign w:val="center"/>
          </w:tcPr>
          <w:p w14:paraId="4E2ADAE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20.904</w:t>
            </w:r>
          </w:p>
        </w:tc>
        <w:tc>
          <w:tcPr>
            <w:tcW w:w="753" w:type="dxa"/>
            <w:tcBorders>
              <w:top w:val="nil"/>
              <w:left w:val="nil"/>
              <w:bottom w:val="nil"/>
              <w:right w:val="nil"/>
            </w:tcBorders>
            <w:vAlign w:val="center"/>
          </w:tcPr>
          <w:p w14:paraId="5D1D4B87"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20.616</w:t>
            </w:r>
          </w:p>
        </w:tc>
        <w:tc>
          <w:tcPr>
            <w:tcW w:w="580" w:type="dxa"/>
            <w:tcBorders>
              <w:top w:val="nil"/>
              <w:left w:val="nil"/>
              <w:bottom w:val="nil"/>
            </w:tcBorders>
            <w:vAlign w:val="center"/>
          </w:tcPr>
          <w:p w14:paraId="47E751EF"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20.382</w:t>
            </w:r>
          </w:p>
        </w:tc>
        <w:tc>
          <w:tcPr>
            <w:tcW w:w="580" w:type="dxa"/>
            <w:tcBorders>
              <w:top w:val="nil"/>
              <w:bottom w:val="nil"/>
              <w:right w:val="nil"/>
            </w:tcBorders>
            <w:vAlign w:val="center"/>
          </w:tcPr>
          <w:p w14:paraId="103F1A24"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20.157</w:t>
            </w:r>
          </w:p>
        </w:tc>
        <w:tc>
          <w:tcPr>
            <w:tcW w:w="580" w:type="dxa"/>
            <w:tcBorders>
              <w:top w:val="nil"/>
              <w:left w:val="nil"/>
              <w:bottom w:val="nil"/>
              <w:right w:val="nil"/>
            </w:tcBorders>
            <w:vAlign w:val="center"/>
          </w:tcPr>
          <w:p w14:paraId="5FDA822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19.993</w:t>
            </w:r>
          </w:p>
        </w:tc>
        <w:tc>
          <w:tcPr>
            <w:tcW w:w="580" w:type="dxa"/>
            <w:tcBorders>
              <w:top w:val="nil"/>
              <w:left w:val="nil"/>
              <w:bottom w:val="nil"/>
            </w:tcBorders>
            <w:vAlign w:val="center"/>
          </w:tcPr>
          <w:p w14:paraId="5CC049BE"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19.842</w:t>
            </w:r>
          </w:p>
        </w:tc>
        <w:tc>
          <w:tcPr>
            <w:tcW w:w="580" w:type="dxa"/>
            <w:tcBorders>
              <w:top w:val="nil"/>
              <w:bottom w:val="nil"/>
              <w:right w:val="nil"/>
            </w:tcBorders>
            <w:vAlign w:val="center"/>
          </w:tcPr>
          <w:p w14:paraId="57D9D89C"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19.640</w:t>
            </w:r>
          </w:p>
        </w:tc>
        <w:tc>
          <w:tcPr>
            <w:tcW w:w="586" w:type="dxa"/>
            <w:tcBorders>
              <w:top w:val="nil"/>
              <w:left w:val="nil"/>
              <w:bottom w:val="nil"/>
              <w:right w:val="nil"/>
            </w:tcBorders>
            <w:vAlign w:val="center"/>
          </w:tcPr>
          <w:p w14:paraId="5B57C9AA"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19.843</w:t>
            </w:r>
          </w:p>
        </w:tc>
        <w:tc>
          <w:tcPr>
            <w:tcW w:w="690" w:type="dxa"/>
            <w:tcBorders>
              <w:top w:val="nil"/>
              <w:left w:val="nil"/>
              <w:bottom w:val="nil"/>
            </w:tcBorders>
            <w:vAlign w:val="center"/>
          </w:tcPr>
          <w:p w14:paraId="51E0554D"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19.317</w:t>
            </w:r>
          </w:p>
        </w:tc>
        <w:tc>
          <w:tcPr>
            <w:tcW w:w="588" w:type="dxa"/>
            <w:tcBorders>
              <w:top w:val="nil"/>
              <w:bottom w:val="nil"/>
              <w:right w:val="nil"/>
            </w:tcBorders>
            <w:vAlign w:val="center"/>
          </w:tcPr>
          <w:p w14:paraId="26353CF2"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19.129</w:t>
            </w:r>
          </w:p>
        </w:tc>
        <w:tc>
          <w:tcPr>
            <w:tcW w:w="618" w:type="dxa"/>
            <w:tcBorders>
              <w:top w:val="nil"/>
              <w:left w:val="nil"/>
              <w:bottom w:val="nil"/>
              <w:right w:val="nil"/>
            </w:tcBorders>
            <w:vAlign w:val="center"/>
          </w:tcPr>
          <w:p w14:paraId="636FDED0"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19.010</w:t>
            </w:r>
          </w:p>
        </w:tc>
        <w:tc>
          <w:tcPr>
            <w:tcW w:w="643" w:type="dxa"/>
            <w:tcBorders>
              <w:top w:val="nil"/>
              <w:left w:val="nil"/>
              <w:bottom w:val="nil"/>
              <w:right w:val="nil"/>
            </w:tcBorders>
            <w:vAlign w:val="center"/>
          </w:tcPr>
          <w:p w14:paraId="55C3B5AA"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18.816</w:t>
            </w:r>
          </w:p>
        </w:tc>
      </w:tr>
      <w:tr w:rsidR="00D47A7E" w:rsidRPr="001557C7" w14:paraId="285616B7" w14:textId="77777777" w:rsidTr="003F4366">
        <w:trPr>
          <w:jc w:val="center"/>
        </w:trPr>
        <w:tc>
          <w:tcPr>
            <w:tcW w:w="854" w:type="dxa"/>
            <w:tcBorders>
              <w:top w:val="nil"/>
              <w:left w:val="nil"/>
              <w:bottom w:val="nil"/>
            </w:tcBorders>
            <w:vAlign w:val="center"/>
          </w:tcPr>
          <w:p w14:paraId="0A88D6C5"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74" w:type="dxa"/>
            <w:tcBorders>
              <w:top w:val="nil"/>
              <w:bottom w:val="nil"/>
              <w:right w:val="nil"/>
            </w:tcBorders>
            <w:vAlign w:val="center"/>
          </w:tcPr>
          <w:p w14:paraId="3EA3F864"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753" w:type="dxa"/>
            <w:tcBorders>
              <w:top w:val="nil"/>
              <w:left w:val="nil"/>
              <w:bottom w:val="nil"/>
              <w:right w:val="nil"/>
            </w:tcBorders>
            <w:vAlign w:val="center"/>
          </w:tcPr>
          <w:p w14:paraId="337CF057"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5B1D158B"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05D04A78"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right w:val="nil"/>
            </w:tcBorders>
            <w:vAlign w:val="center"/>
          </w:tcPr>
          <w:p w14:paraId="22C59053"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103E7282"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46BB9B1A"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6" w:type="dxa"/>
            <w:tcBorders>
              <w:top w:val="nil"/>
              <w:left w:val="nil"/>
              <w:bottom w:val="nil"/>
              <w:right w:val="nil"/>
            </w:tcBorders>
            <w:vAlign w:val="center"/>
          </w:tcPr>
          <w:p w14:paraId="2639FEED"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90" w:type="dxa"/>
            <w:tcBorders>
              <w:top w:val="nil"/>
              <w:left w:val="nil"/>
              <w:bottom w:val="nil"/>
            </w:tcBorders>
            <w:vAlign w:val="center"/>
          </w:tcPr>
          <w:p w14:paraId="19F592B5"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8" w:type="dxa"/>
            <w:tcBorders>
              <w:top w:val="nil"/>
              <w:bottom w:val="nil"/>
              <w:right w:val="nil"/>
            </w:tcBorders>
            <w:vAlign w:val="center"/>
          </w:tcPr>
          <w:p w14:paraId="7D09DD9A"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18" w:type="dxa"/>
            <w:tcBorders>
              <w:top w:val="nil"/>
              <w:left w:val="nil"/>
              <w:bottom w:val="nil"/>
              <w:right w:val="nil"/>
            </w:tcBorders>
            <w:vAlign w:val="center"/>
          </w:tcPr>
          <w:p w14:paraId="7E875175"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43" w:type="dxa"/>
            <w:tcBorders>
              <w:top w:val="nil"/>
              <w:left w:val="nil"/>
              <w:bottom w:val="nil"/>
              <w:right w:val="nil"/>
            </w:tcBorders>
            <w:vAlign w:val="center"/>
          </w:tcPr>
          <w:p w14:paraId="284CE0BA"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r>
      <w:tr w:rsidR="00D47A7E" w:rsidRPr="001557C7" w14:paraId="2F6842F0" w14:textId="77777777" w:rsidTr="003F4366">
        <w:trPr>
          <w:jc w:val="center"/>
        </w:trPr>
        <w:tc>
          <w:tcPr>
            <w:tcW w:w="854" w:type="dxa"/>
            <w:tcBorders>
              <w:top w:val="nil"/>
              <w:left w:val="nil"/>
              <w:bottom w:val="nil"/>
            </w:tcBorders>
            <w:vAlign w:val="center"/>
          </w:tcPr>
          <w:p w14:paraId="09B2277A" w14:textId="77777777" w:rsidR="00D47A7E" w:rsidRPr="004E2D59" w:rsidRDefault="00D47A7E" w:rsidP="003F4366">
            <w:pPr>
              <w:spacing w:line="276" w:lineRule="auto"/>
              <w:jc w:val="both"/>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Επίδομα κοινωνικής αλληλεγγύης υπερηλίκων</w:t>
            </w:r>
          </w:p>
        </w:tc>
        <w:tc>
          <w:tcPr>
            <w:tcW w:w="674" w:type="dxa"/>
            <w:tcBorders>
              <w:top w:val="nil"/>
              <w:bottom w:val="nil"/>
              <w:right w:val="nil"/>
            </w:tcBorders>
            <w:vAlign w:val="center"/>
          </w:tcPr>
          <w:p w14:paraId="12A12141"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14.274</w:t>
            </w:r>
          </w:p>
        </w:tc>
        <w:tc>
          <w:tcPr>
            <w:tcW w:w="753" w:type="dxa"/>
            <w:tcBorders>
              <w:top w:val="nil"/>
              <w:left w:val="nil"/>
              <w:bottom w:val="nil"/>
              <w:right w:val="nil"/>
            </w:tcBorders>
            <w:vAlign w:val="center"/>
          </w:tcPr>
          <w:p w14:paraId="4A857B5A"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14.485</w:t>
            </w:r>
          </w:p>
        </w:tc>
        <w:tc>
          <w:tcPr>
            <w:tcW w:w="580" w:type="dxa"/>
            <w:tcBorders>
              <w:top w:val="nil"/>
              <w:left w:val="nil"/>
              <w:bottom w:val="nil"/>
            </w:tcBorders>
            <w:vAlign w:val="center"/>
          </w:tcPr>
          <w:p w14:paraId="7DDA0322"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14.821</w:t>
            </w:r>
          </w:p>
        </w:tc>
        <w:tc>
          <w:tcPr>
            <w:tcW w:w="580" w:type="dxa"/>
            <w:tcBorders>
              <w:top w:val="nil"/>
              <w:bottom w:val="nil"/>
              <w:right w:val="nil"/>
            </w:tcBorders>
            <w:vAlign w:val="center"/>
          </w:tcPr>
          <w:p w14:paraId="2FB72E95"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14.946</w:t>
            </w:r>
          </w:p>
        </w:tc>
        <w:tc>
          <w:tcPr>
            <w:tcW w:w="580" w:type="dxa"/>
            <w:tcBorders>
              <w:top w:val="nil"/>
              <w:left w:val="nil"/>
              <w:bottom w:val="nil"/>
              <w:right w:val="nil"/>
            </w:tcBorders>
            <w:vAlign w:val="center"/>
          </w:tcPr>
          <w:p w14:paraId="2182CE17"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15.115</w:t>
            </w:r>
          </w:p>
        </w:tc>
        <w:tc>
          <w:tcPr>
            <w:tcW w:w="580" w:type="dxa"/>
            <w:tcBorders>
              <w:top w:val="nil"/>
              <w:left w:val="nil"/>
              <w:bottom w:val="nil"/>
            </w:tcBorders>
            <w:vAlign w:val="center"/>
          </w:tcPr>
          <w:p w14:paraId="32291888"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15.205</w:t>
            </w:r>
          </w:p>
        </w:tc>
        <w:tc>
          <w:tcPr>
            <w:tcW w:w="580" w:type="dxa"/>
            <w:tcBorders>
              <w:top w:val="nil"/>
              <w:bottom w:val="nil"/>
              <w:right w:val="nil"/>
            </w:tcBorders>
            <w:vAlign w:val="center"/>
          </w:tcPr>
          <w:p w14:paraId="6D9EDA84"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15.296</w:t>
            </w:r>
          </w:p>
        </w:tc>
        <w:tc>
          <w:tcPr>
            <w:tcW w:w="586" w:type="dxa"/>
            <w:tcBorders>
              <w:top w:val="nil"/>
              <w:left w:val="nil"/>
              <w:bottom w:val="nil"/>
              <w:right w:val="nil"/>
            </w:tcBorders>
            <w:vAlign w:val="center"/>
          </w:tcPr>
          <w:p w14:paraId="0231F43D"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15.506</w:t>
            </w:r>
          </w:p>
        </w:tc>
        <w:tc>
          <w:tcPr>
            <w:tcW w:w="690" w:type="dxa"/>
            <w:tcBorders>
              <w:top w:val="nil"/>
              <w:left w:val="nil"/>
              <w:bottom w:val="nil"/>
            </w:tcBorders>
            <w:vAlign w:val="center"/>
          </w:tcPr>
          <w:p w14:paraId="51738C6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15.624</w:t>
            </w:r>
          </w:p>
        </w:tc>
        <w:tc>
          <w:tcPr>
            <w:tcW w:w="588" w:type="dxa"/>
            <w:tcBorders>
              <w:top w:val="nil"/>
              <w:bottom w:val="nil"/>
              <w:right w:val="nil"/>
            </w:tcBorders>
            <w:vAlign w:val="center"/>
          </w:tcPr>
          <w:p w14:paraId="58DED0E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15.833</w:t>
            </w:r>
          </w:p>
        </w:tc>
        <w:tc>
          <w:tcPr>
            <w:tcW w:w="618" w:type="dxa"/>
            <w:tcBorders>
              <w:top w:val="nil"/>
              <w:left w:val="nil"/>
              <w:bottom w:val="nil"/>
              <w:right w:val="nil"/>
            </w:tcBorders>
            <w:vAlign w:val="center"/>
          </w:tcPr>
          <w:p w14:paraId="7701B55D"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16.061</w:t>
            </w:r>
          </w:p>
        </w:tc>
        <w:tc>
          <w:tcPr>
            <w:tcW w:w="643" w:type="dxa"/>
            <w:tcBorders>
              <w:top w:val="nil"/>
              <w:left w:val="nil"/>
              <w:bottom w:val="nil"/>
              <w:right w:val="nil"/>
            </w:tcBorders>
            <w:vAlign w:val="center"/>
          </w:tcPr>
          <w:p w14:paraId="1797A381"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16.187</w:t>
            </w:r>
          </w:p>
        </w:tc>
      </w:tr>
      <w:tr w:rsidR="00D47A7E" w:rsidRPr="001557C7" w14:paraId="21F9C8E4" w14:textId="77777777" w:rsidTr="003F4366">
        <w:trPr>
          <w:jc w:val="center"/>
        </w:trPr>
        <w:tc>
          <w:tcPr>
            <w:tcW w:w="854" w:type="dxa"/>
            <w:tcBorders>
              <w:top w:val="nil"/>
              <w:left w:val="nil"/>
              <w:bottom w:val="nil"/>
            </w:tcBorders>
            <w:vAlign w:val="center"/>
          </w:tcPr>
          <w:p w14:paraId="4DDCB812"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74" w:type="dxa"/>
            <w:tcBorders>
              <w:top w:val="nil"/>
              <w:bottom w:val="nil"/>
              <w:right w:val="nil"/>
            </w:tcBorders>
            <w:vAlign w:val="center"/>
          </w:tcPr>
          <w:p w14:paraId="278E5DF0"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753" w:type="dxa"/>
            <w:tcBorders>
              <w:top w:val="nil"/>
              <w:left w:val="nil"/>
              <w:bottom w:val="nil"/>
              <w:right w:val="nil"/>
            </w:tcBorders>
            <w:vAlign w:val="center"/>
          </w:tcPr>
          <w:p w14:paraId="1BB67A09"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42746770"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06B10810"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right w:val="nil"/>
            </w:tcBorders>
            <w:vAlign w:val="center"/>
          </w:tcPr>
          <w:p w14:paraId="508EEF28" w14:textId="77777777" w:rsidR="00D47A7E" w:rsidRPr="004E2D59" w:rsidRDefault="00D47A7E" w:rsidP="003F4366">
            <w:pPr>
              <w:spacing w:line="276" w:lineRule="auto"/>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1679A4DB"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53B6186F"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6" w:type="dxa"/>
            <w:tcBorders>
              <w:top w:val="nil"/>
              <w:left w:val="nil"/>
              <w:bottom w:val="nil"/>
              <w:right w:val="nil"/>
            </w:tcBorders>
            <w:vAlign w:val="center"/>
          </w:tcPr>
          <w:p w14:paraId="0BD440FB"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90" w:type="dxa"/>
            <w:tcBorders>
              <w:top w:val="nil"/>
              <w:left w:val="nil"/>
              <w:bottom w:val="nil"/>
            </w:tcBorders>
            <w:vAlign w:val="center"/>
          </w:tcPr>
          <w:p w14:paraId="68CD8AD0"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8" w:type="dxa"/>
            <w:tcBorders>
              <w:top w:val="nil"/>
              <w:bottom w:val="nil"/>
              <w:right w:val="nil"/>
            </w:tcBorders>
            <w:vAlign w:val="center"/>
          </w:tcPr>
          <w:p w14:paraId="30533F28"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18" w:type="dxa"/>
            <w:tcBorders>
              <w:top w:val="nil"/>
              <w:left w:val="nil"/>
              <w:bottom w:val="nil"/>
              <w:right w:val="nil"/>
            </w:tcBorders>
            <w:vAlign w:val="center"/>
          </w:tcPr>
          <w:p w14:paraId="04AAA319"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43" w:type="dxa"/>
            <w:tcBorders>
              <w:top w:val="nil"/>
              <w:left w:val="nil"/>
              <w:bottom w:val="nil"/>
              <w:right w:val="nil"/>
            </w:tcBorders>
            <w:vAlign w:val="center"/>
          </w:tcPr>
          <w:p w14:paraId="213FA716"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r>
      <w:tr w:rsidR="00D47A7E" w:rsidRPr="001557C7" w14:paraId="6629B7A4" w14:textId="77777777" w:rsidTr="003F4366">
        <w:trPr>
          <w:jc w:val="center"/>
        </w:trPr>
        <w:tc>
          <w:tcPr>
            <w:tcW w:w="854" w:type="dxa"/>
            <w:tcBorders>
              <w:top w:val="nil"/>
              <w:left w:val="nil"/>
              <w:bottom w:val="nil"/>
            </w:tcBorders>
            <w:vAlign w:val="center"/>
          </w:tcPr>
          <w:p w14:paraId="069C9AC3" w14:textId="77777777" w:rsidR="00D47A7E" w:rsidRPr="004E2D59" w:rsidRDefault="00D47A7E" w:rsidP="003F4366">
            <w:pPr>
              <w:spacing w:line="276" w:lineRule="auto"/>
              <w:jc w:val="both"/>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Γέννησης</w:t>
            </w:r>
          </w:p>
        </w:tc>
        <w:tc>
          <w:tcPr>
            <w:tcW w:w="674" w:type="dxa"/>
            <w:tcBorders>
              <w:top w:val="nil"/>
              <w:bottom w:val="nil"/>
              <w:right w:val="nil"/>
            </w:tcBorders>
            <w:vAlign w:val="center"/>
          </w:tcPr>
          <w:p w14:paraId="40E9ECB4"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12.703</w:t>
            </w:r>
          </w:p>
        </w:tc>
        <w:tc>
          <w:tcPr>
            <w:tcW w:w="753" w:type="dxa"/>
            <w:tcBorders>
              <w:top w:val="nil"/>
              <w:left w:val="nil"/>
              <w:bottom w:val="nil"/>
              <w:right w:val="nil"/>
            </w:tcBorders>
            <w:vAlign w:val="center"/>
          </w:tcPr>
          <w:p w14:paraId="692A8244"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12.660</w:t>
            </w:r>
          </w:p>
        </w:tc>
        <w:tc>
          <w:tcPr>
            <w:tcW w:w="580" w:type="dxa"/>
            <w:tcBorders>
              <w:top w:val="nil"/>
              <w:left w:val="nil"/>
              <w:bottom w:val="nil"/>
            </w:tcBorders>
            <w:vAlign w:val="center"/>
          </w:tcPr>
          <w:p w14:paraId="1ED4527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12.529</w:t>
            </w:r>
          </w:p>
        </w:tc>
        <w:tc>
          <w:tcPr>
            <w:tcW w:w="580" w:type="dxa"/>
            <w:tcBorders>
              <w:top w:val="nil"/>
              <w:bottom w:val="nil"/>
              <w:right w:val="nil"/>
            </w:tcBorders>
            <w:vAlign w:val="center"/>
          </w:tcPr>
          <w:p w14:paraId="526D021D"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12.297</w:t>
            </w:r>
          </w:p>
        </w:tc>
        <w:tc>
          <w:tcPr>
            <w:tcW w:w="580" w:type="dxa"/>
            <w:tcBorders>
              <w:top w:val="nil"/>
              <w:left w:val="nil"/>
              <w:bottom w:val="nil"/>
              <w:right w:val="nil"/>
            </w:tcBorders>
            <w:vAlign w:val="center"/>
          </w:tcPr>
          <w:p w14:paraId="3AF6ECAD"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11.420</w:t>
            </w:r>
          </w:p>
        </w:tc>
        <w:tc>
          <w:tcPr>
            <w:tcW w:w="580" w:type="dxa"/>
            <w:tcBorders>
              <w:top w:val="nil"/>
              <w:left w:val="nil"/>
              <w:bottom w:val="nil"/>
            </w:tcBorders>
            <w:vAlign w:val="center"/>
          </w:tcPr>
          <w:p w14:paraId="2DE27008"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12.212</w:t>
            </w:r>
          </w:p>
        </w:tc>
        <w:tc>
          <w:tcPr>
            <w:tcW w:w="580" w:type="dxa"/>
            <w:tcBorders>
              <w:top w:val="nil"/>
              <w:bottom w:val="nil"/>
              <w:right w:val="nil"/>
            </w:tcBorders>
            <w:vAlign w:val="center"/>
          </w:tcPr>
          <w:p w14:paraId="62F0ABCF"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12.085</w:t>
            </w:r>
          </w:p>
        </w:tc>
        <w:tc>
          <w:tcPr>
            <w:tcW w:w="586" w:type="dxa"/>
            <w:tcBorders>
              <w:top w:val="nil"/>
              <w:left w:val="nil"/>
              <w:bottom w:val="nil"/>
              <w:right w:val="nil"/>
            </w:tcBorders>
            <w:vAlign w:val="center"/>
          </w:tcPr>
          <w:p w14:paraId="45FC1A4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12.758</w:t>
            </w:r>
          </w:p>
        </w:tc>
        <w:tc>
          <w:tcPr>
            <w:tcW w:w="690" w:type="dxa"/>
            <w:tcBorders>
              <w:top w:val="nil"/>
              <w:left w:val="nil"/>
              <w:bottom w:val="nil"/>
            </w:tcBorders>
            <w:vAlign w:val="center"/>
          </w:tcPr>
          <w:p w14:paraId="7389468C"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12.448</w:t>
            </w:r>
          </w:p>
        </w:tc>
        <w:tc>
          <w:tcPr>
            <w:tcW w:w="588" w:type="dxa"/>
            <w:tcBorders>
              <w:top w:val="nil"/>
              <w:bottom w:val="nil"/>
              <w:right w:val="nil"/>
            </w:tcBorders>
            <w:vAlign w:val="center"/>
          </w:tcPr>
          <w:p w14:paraId="74645581"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13.141</w:t>
            </w:r>
          </w:p>
        </w:tc>
        <w:tc>
          <w:tcPr>
            <w:tcW w:w="618" w:type="dxa"/>
            <w:tcBorders>
              <w:top w:val="nil"/>
              <w:left w:val="nil"/>
              <w:bottom w:val="nil"/>
              <w:right w:val="nil"/>
            </w:tcBorders>
            <w:vAlign w:val="center"/>
          </w:tcPr>
          <w:p w14:paraId="48311E63"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12.743</w:t>
            </w:r>
          </w:p>
        </w:tc>
        <w:tc>
          <w:tcPr>
            <w:tcW w:w="643" w:type="dxa"/>
            <w:tcBorders>
              <w:top w:val="nil"/>
              <w:left w:val="nil"/>
              <w:bottom w:val="nil"/>
              <w:right w:val="nil"/>
            </w:tcBorders>
            <w:vAlign w:val="center"/>
          </w:tcPr>
          <w:p w14:paraId="1F67A4C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13.983</w:t>
            </w:r>
          </w:p>
        </w:tc>
      </w:tr>
      <w:tr w:rsidR="00D47A7E" w:rsidRPr="001557C7" w14:paraId="5A96ABCE" w14:textId="77777777" w:rsidTr="003F4366">
        <w:trPr>
          <w:jc w:val="center"/>
        </w:trPr>
        <w:tc>
          <w:tcPr>
            <w:tcW w:w="854" w:type="dxa"/>
            <w:tcBorders>
              <w:top w:val="nil"/>
              <w:left w:val="nil"/>
              <w:bottom w:val="nil"/>
            </w:tcBorders>
            <w:vAlign w:val="center"/>
          </w:tcPr>
          <w:p w14:paraId="6976FBBF"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74" w:type="dxa"/>
            <w:tcBorders>
              <w:top w:val="nil"/>
              <w:bottom w:val="nil"/>
              <w:right w:val="nil"/>
            </w:tcBorders>
            <w:vAlign w:val="center"/>
          </w:tcPr>
          <w:p w14:paraId="14A4C12E"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753" w:type="dxa"/>
            <w:tcBorders>
              <w:top w:val="nil"/>
              <w:left w:val="nil"/>
              <w:bottom w:val="nil"/>
              <w:right w:val="nil"/>
            </w:tcBorders>
            <w:vAlign w:val="center"/>
          </w:tcPr>
          <w:p w14:paraId="0F93BFAE"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322D3201"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0AE42842"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right w:val="nil"/>
            </w:tcBorders>
            <w:vAlign w:val="center"/>
          </w:tcPr>
          <w:p w14:paraId="6DE921EC"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23C7528C"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30B6896C"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6" w:type="dxa"/>
            <w:tcBorders>
              <w:top w:val="nil"/>
              <w:left w:val="nil"/>
              <w:bottom w:val="nil"/>
              <w:right w:val="nil"/>
            </w:tcBorders>
            <w:vAlign w:val="center"/>
          </w:tcPr>
          <w:p w14:paraId="65C2AF6D"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90" w:type="dxa"/>
            <w:tcBorders>
              <w:top w:val="nil"/>
              <w:left w:val="nil"/>
              <w:bottom w:val="nil"/>
            </w:tcBorders>
            <w:vAlign w:val="center"/>
          </w:tcPr>
          <w:p w14:paraId="78D0D577"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8" w:type="dxa"/>
            <w:tcBorders>
              <w:top w:val="nil"/>
              <w:bottom w:val="nil"/>
              <w:right w:val="nil"/>
            </w:tcBorders>
            <w:vAlign w:val="center"/>
          </w:tcPr>
          <w:p w14:paraId="7E9A3382"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18" w:type="dxa"/>
            <w:tcBorders>
              <w:top w:val="nil"/>
              <w:left w:val="nil"/>
              <w:bottom w:val="nil"/>
              <w:right w:val="nil"/>
            </w:tcBorders>
            <w:vAlign w:val="center"/>
          </w:tcPr>
          <w:p w14:paraId="7CB6F709"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43" w:type="dxa"/>
            <w:tcBorders>
              <w:top w:val="nil"/>
              <w:left w:val="nil"/>
              <w:bottom w:val="nil"/>
              <w:right w:val="nil"/>
            </w:tcBorders>
            <w:vAlign w:val="center"/>
          </w:tcPr>
          <w:p w14:paraId="12301B5E"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r>
      <w:tr w:rsidR="00D47A7E" w:rsidRPr="001557C7" w14:paraId="0305ACDB" w14:textId="77777777" w:rsidTr="003F4366">
        <w:trPr>
          <w:jc w:val="center"/>
        </w:trPr>
        <w:tc>
          <w:tcPr>
            <w:tcW w:w="854" w:type="dxa"/>
            <w:tcBorders>
              <w:top w:val="nil"/>
              <w:left w:val="nil"/>
              <w:bottom w:val="nil"/>
            </w:tcBorders>
            <w:vAlign w:val="center"/>
          </w:tcPr>
          <w:p w14:paraId="6149E2B0" w14:textId="77777777" w:rsidR="00D47A7E" w:rsidRPr="004E2D59" w:rsidRDefault="00D47A7E" w:rsidP="003F4366">
            <w:pPr>
              <w:spacing w:line="276" w:lineRule="auto"/>
              <w:jc w:val="both"/>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Οικογενειακά</w:t>
            </w:r>
          </w:p>
        </w:tc>
        <w:tc>
          <w:tcPr>
            <w:tcW w:w="674" w:type="dxa"/>
            <w:tcBorders>
              <w:top w:val="nil"/>
              <w:bottom w:val="nil"/>
              <w:right w:val="nil"/>
            </w:tcBorders>
            <w:vAlign w:val="center"/>
          </w:tcPr>
          <w:p w14:paraId="6A8A6682" w14:textId="77777777" w:rsidR="00D47A7E" w:rsidRPr="004E2D59" w:rsidRDefault="00D47A7E" w:rsidP="003F4366">
            <w:pPr>
              <w:spacing w:line="276" w:lineRule="auto"/>
              <w:ind w:left="30"/>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w:t>
            </w:r>
          </w:p>
        </w:tc>
        <w:tc>
          <w:tcPr>
            <w:tcW w:w="753" w:type="dxa"/>
            <w:tcBorders>
              <w:top w:val="nil"/>
              <w:left w:val="nil"/>
              <w:bottom w:val="nil"/>
              <w:right w:val="nil"/>
            </w:tcBorders>
            <w:vAlign w:val="center"/>
          </w:tcPr>
          <w:p w14:paraId="5A8B6AA2" w14:textId="77777777" w:rsidR="00D47A7E" w:rsidRPr="004E2D59" w:rsidRDefault="00D47A7E" w:rsidP="003F4366">
            <w:pPr>
              <w:spacing w:line="276" w:lineRule="auto"/>
              <w:ind w:left="30"/>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w:t>
            </w:r>
          </w:p>
        </w:tc>
        <w:tc>
          <w:tcPr>
            <w:tcW w:w="580" w:type="dxa"/>
            <w:tcBorders>
              <w:top w:val="nil"/>
              <w:left w:val="nil"/>
              <w:bottom w:val="nil"/>
            </w:tcBorders>
            <w:vAlign w:val="center"/>
          </w:tcPr>
          <w:p w14:paraId="3186A7C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627.113</w:t>
            </w:r>
          </w:p>
        </w:tc>
        <w:tc>
          <w:tcPr>
            <w:tcW w:w="580" w:type="dxa"/>
            <w:tcBorders>
              <w:top w:val="nil"/>
              <w:bottom w:val="nil"/>
              <w:right w:val="nil"/>
            </w:tcBorders>
            <w:vAlign w:val="center"/>
          </w:tcPr>
          <w:p w14:paraId="15DFA92E"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w:t>
            </w:r>
          </w:p>
        </w:tc>
        <w:tc>
          <w:tcPr>
            <w:tcW w:w="580" w:type="dxa"/>
            <w:tcBorders>
              <w:top w:val="nil"/>
              <w:left w:val="nil"/>
              <w:bottom w:val="nil"/>
              <w:right w:val="nil"/>
            </w:tcBorders>
            <w:vAlign w:val="center"/>
          </w:tcPr>
          <w:p w14:paraId="406A176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726.536</w:t>
            </w:r>
          </w:p>
        </w:tc>
        <w:tc>
          <w:tcPr>
            <w:tcW w:w="580" w:type="dxa"/>
            <w:tcBorders>
              <w:top w:val="nil"/>
              <w:left w:val="nil"/>
              <w:bottom w:val="nil"/>
            </w:tcBorders>
            <w:vAlign w:val="center"/>
          </w:tcPr>
          <w:p w14:paraId="4110FED8"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w:t>
            </w:r>
          </w:p>
        </w:tc>
        <w:tc>
          <w:tcPr>
            <w:tcW w:w="580" w:type="dxa"/>
            <w:tcBorders>
              <w:top w:val="nil"/>
              <w:bottom w:val="nil"/>
              <w:right w:val="nil"/>
            </w:tcBorders>
            <w:vAlign w:val="center"/>
          </w:tcPr>
          <w:p w14:paraId="440D8D4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753.606</w:t>
            </w:r>
          </w:p>
        </w:tc>
        <w:tc>
          <w:tcPr>
            <w:tcW w:w="586" w:type="dxa"/>
            <w:tcBorders>
              <w:top w:val="nil"/>
              <w:left w:val="nil"/>
              <w:bottom w:val="nil"/>
              <w:right w:val="nil"/>
            </w:tcBorders>
            <w:vAlign w:val="center"/>
          </w:tcPr>
          <w:p w14:paraId="56F25481"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w:t>
            </w:r>
          </w:p>
        </w:tc>
        <w:tc>
          <w:tcPr>
            <w:tcW w:w="690" w:type="dxa"/>
            <w:tcBorders>
              <w:top w:val="nil"/>
              <w:left w:val="nil"/>
              <w:bottom w:val="nil"/>
            </w:tcBorders>
            <w:vAlign w:val="center"/>
          </w:tcPr>
          <w:p w14:paraId="29A0C60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762.862</w:t>
            </w:r>
          </w:p>
        </w:tc>
        <w:tc>
          <w:tcPr>
            <w:tcW w:w="588" w:type="dxa"/>
            <w:tcBorders>
              <w:top w:val="nil"/>
              <w:bottom w:val="nil"/>
              <w:right w:val="nil"/>
            </w:tcBorders>
            <w:vAlign w:val="center"/>
          </w:tcPr>
          <w:p w14:paraId="17DA13B3"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w:t>
            </w:r>
          </w:p>
        </w:tc>
        <w:tc>
          <w:tcPr>
            <w:tcW w:w="618" w:type="dxa"/>
            <w:tcBorders>
              <w:top w:val="nil"/>
              <w:left w:val="nil"/>
              <w:bottom w:val="nil"/>
              <w:right w:val="nil"/>
            </w:tcBorders>
            <w:vAlign w:val="center"/>
          </w:tcPr>
          <w:p w14:paraId="243277FF"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820.486</w:t>
            </w:r>
          </w:p>
        </w:tc>
        <w:tc>
          <w:tcPr>
            <w:tcW w:w="643" w:type="dxa"/>
            <w:tcBorders>
              <w:top w:val="nil"/>
              <w:left w:val="nil"/>
              <w:bottom w:val="nil"/>
              <w:right w:val="nil"/>
            </w:tcBorders>
            <w:vAlign w:val="center"/>
          </w:tcPr>
          <w:p w14:paraId="3F322D6E"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855.085</w:t>
            </w:r>
          </w:p>
        </w:tc>
      </w:tr>
      <w:tr w:rsidR="00D47A7E" w:rsidRPr="001557C7" w14:paraId="645640AF" w14:textId="77777777" w:rsidTr="003F4366">
        <w:trPr>
          <w:jc w:val="center"/>
        </w:trPr>
        <w:tc>
          <w:tcPr>
            <w:tcW w:w="854" w:type="dxa"/>
            <w:tcBorders>
              <w:top w:val="nil"/>
              <w:left w:val="nil"/>
              <w:bottom w:val="nil"/>
            </w:tcBorders>
            <w:vAlign w:val="center"/>
          </w:tcPr>
          <w:p w14:paraId="0BC50383"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p w14:paraId="202463AE" w14:textId="77777777" w:rsidR="00D47A7E" w:rsidRPr="004E2D59" w:rsidRDefault="00D47A7E" w:rsidP="003F4366">
            <w:pPr>
              <w:spacing w:line="276" w:lineRule="auto"/>
              <w:jc w:val="both"/>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Πρόγραμμα «ΓΕΦΥΡΑ»</w:t>
            </w:r>
          </w:p>
        </w:tc>
        <w:tc>
          <w:tcPr>
            <w:tcW w:w="674" w:type="dxa"/>
            <w:tcBorders>
              <w:top w:val="nil"/>
              <w:bottom w:val="nil"/>
              <w:right w:val="nil"/>
            </w:tcBorders>
            <w:vAlign w:val="center"/>
          </w:tcPr>
          <w:p w14:paraId="2F10BF54"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69.443</w:t>
            </w:r>
          </w:p>
        </w:tc>
        <w:tc>
          <w:tcPr>
            <w:tcW w:w="753" w:type="dxa"/>
            <w:tcBorders>
              <w:top w:val="nil"/>
              <w:left w:val="nil"/>
              <w:bottom w:val="nil"/>
              <w:right w:val="nil"/>
            </w:tcBorders>
            <w:vAlign w:val="center"/>
          </w:tcPr>
          <w:p w14:paraId="3088BBCA"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72.134</w:t>
            </w:r>
          </w:p>
        </w:tc>
        <w:tc>
          <w:tcPr>
            <w:tcW w:w="580" w:type="dxa"/>
            <w:tcBorders>
              <w:top w:val="nil"/>
              <w:left w:val="nil"/>
              <w:bottom w:val="nil"/>
            </w:tcBorders>
            <w:vAlign w:val="center"/>
          </w:tcPr>
          <w:p w14:paraId="08991468"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72.581</w:t>
            </w:r>
          </w:p>
        </w:tc>
        <w:tc>
          <w:tcPr>
            <w:tcW w:w="580" w:type="dxa"/>
            <w:tcBorders>
              <w:top w:val="nil"/>
              <w:bottom w:val="nil"/>
              <w:right w:val="nil"/>
            </w:tcBorders>
            <w:vAlign w:val="center"/>
          </w:tcPr>
          <w:p w14:paraId="73B097B5"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75.370</w:t>
            </w:r>
          </w:p>
        </w:tc>
        <w:tc>
          <w:tcPr>
            <w:tcW w:w="580" w:type="dxa"/>
            <w:tcBorders>
              <w:top w:val="nil"/>
              <w:left w:val="nil"/>
              <w:bottom w:val="nil"/>
              <w:right w:val="nil"/>
            </w:tcBorders>
            <w:vAlign w:val="center"/>
          </w:tcPr>
          <w:p w14:paraId="58B8EC9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75.368</w:t>
            </w:r>
          </w:p>
        </w:tc>
        <w:tc>
          <w:tcPr>
            <w:tcW w:w="580" w:type="dxa"/>
            <w:tcBorders>
              <w:top w:val="nil"/>
              <w:left w:val="nil"/>
              <w:bottom w:val="nil"/>
            </w:tcBorders>
            <w:vAlign w:val="center"/>
          </w:tcPr>
          <w:p w14:paraId="4959E37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75.666</w:t>
            </w:r>
          </w:p>
        </w:tc>
        <w:tc>
          <w:tcPr>
            <w:tcW w:w="580" w:type="dxa"/>
            <w:tcBorders>
              <w:top w:val="nil"/>
              <w:bottom w:val="nil"/>
              <w:right w:val="nil"/>
            </w:tcBorders>
            <w:vAlign w:val="center"/>
          </w:tcPr>
          <w:p w14:paraId="1878B21D"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73.704</w:t>
            </w:r>
          </w:p>
        </w:tc>
        <w:tc>
          <w:tcPr>
            <w:tcW w:w="586" w:type="dxa"/>
            <w:tcBorders>
              <w:top w:val="nil"/>
              <w:left w:val="nil"/>
              <w:bottom w:val="nil"/>
              <w:right w:val="nil"/>
            </w:tcBorders>
            <w:vAlign w:val="center"/>
          </w:tcPr>
          <w:p w14:paraId="6955C080"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51.595</w:t>
            </w:r>
          </w:p>
        </w:tc>
        <w:tc>
          <w:tcPr>
            <w:tcW w:w="690" w:type="dxa"/>
            <w:tcBorders>
              <w:top w:val="nil"/>
              <w:left w:val="nil"/>
              <w:bottom w:val="nil"/>
            </w:tcBorders>
            <w:vAlign w:val="center"/>
          </w:tcPr>
          <w:p w14:paraId="19C6D0A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39.102</w:t>
            </w:r>
          </w:p>
        </w:tc>
        <w:tc>
          <w:tcPr>
            <w:tcW w:w="588" w:type="dxa"/>
            <w:tcBorders>
              <w:top w:val="nil"/>
              <w:bottom w:val="nil"/>
              <w:right w:val="nil"/>
            </w:tcBorders>
            <w:vAlign w:val="center"/>
          </w:tcPr>
          <w:p w14:paraId="7B3F94E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50.096</w:t>
            </w:r>
          </w:p>
        </w:tc>
        <w:tc>
          <w:tcPr>
            <w:tcW w:w="618" w:type="dxa"/>
            <w:tcBorders>
              <w:top w:val="nil"/>
              <w:left w:val="nil"/>
              <w:bottom w:val="nil"/>
              <w:right w:val="nil"/>
            </w:tcBorders>
            <w:vAlign w:val="center"/>
          </w:tcPr>
          <w:p w14:paraId="5140FE0C"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73.233</w:t>
            </w:r>
          </w:p>
        </w:tc>
        <w:tc>
          <w:tcPr>
            <w:tcW w:w="643" w:type="dxa"/>
            <w:tcBorders>
              <w:top w:val="nil"/>
              <w:left w:val="nil"/>
              <w:bottom w:val="nil"/>
              <w:right w:val="nil"/>
            </w:tcBorders>
            <w:vAlign w:val="center"/>
          </w:tcPr>
          <w:p w14:paraId="455EE3CE"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73.120</w:t>
            </w:r>
          </w:p>
        </w:tc>
      </w:tr>
      <w:tr w:rsidR="00D47A7E" w:rsidRPr="001557C7" w14:paraId="2A2D6A84" w14:textId="77777777" w:rsidTr="003F4366">
        <w:trPr>
          <w:jc w:val="center"/>
        </w:trPr>
        <w:tc>
          <w:tcPr>
            <w:tcW w:w="854" w:type="dxa"/>
            <w:tcBorders>
              <w:top w:val="nil"/>
              <w:left w:val="nil"/>
              <w:bottom w:val="nil"/>
            </w:tcBorders>
            <w:vAlign w:val="center"/>
          </w:tcPr>
          <w:p w14:paraId="5BFC5429" w14:textId="77777777" w:rsidR="00D47A7E" w:rsidRPr="004E2D59" w:rsidRDefault="00D47A7E" w:rsidP="003F4366">
            <w:pPr>
              <w:spacing w:line="276" w:lineRule="auto"/>
              <w:jc w:val="both"/>
              <w:rPr>
                <w:rFonts w:ascii="Calibri" w:eastAsia="Calibri" w:hAnsi="Calibri" w:cs="Times New Roman"/>
                <w:color w:val="595959" w:themeColor="text1" w:themeTint="A6"/>
                <w:sz w:val="4"/>
                <w:szCs w:val="4"/>
              </w:rPr>
            </w:pPr>
          </w:p>
        </w:tc>
        <w:tc>
          <w:tcPr>
            <w:tcW w:w="674" w:type="dxa"/>
            <w:tcBorders>
              <w:top w:val="nil"/>
              <w:bottom w:val="nil"/>
              <w:right w:val="nil"/>
            </w:tcBorders>
            <w:vAlign w:val="center"/>
          </w:tcPr>
          <w:p w14:paraId="7A3599E2"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753" w:type="dxa"/>
            <w:tcBorders>
              <w:top w:val="nil"/>
              <w:left w:val="nil"/>
              <w:bottom w:val="nil"/>
              <w:right w:val="nil"/>
            </w:tcBorders>
            <w:vAlign w:val="center"/>
          </w:tcPr>
          <w:p w14:paraId="755D7001"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1C9ECEC7"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136F57E0"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right w:val="nil"/>
            </w:tcBorders>
            <w:vAlign w:val="center"/>
          </w:tcPr>
          <w:p w14:paraId="318AECF7"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left w:val="nil"/>
              <w:bottom w:val="nil"/>
            </w:tcBorders>
            <w:vAlign w:val="center"/>
          </w:tcPr>
          <w:p w14:paraId="39B1893C"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0" w:type="dxa"/>
            <w:tcBorders>
              <w:top w:val="nil"/>
              <w:bottom w:val="nil"/>
              <w:right w:val="nil"/>
            </w:tcBorders>
            <w:vAlign w:val="center"/>
          </w:tcPr>
          <w:p w14:paraId="6AEAA3E7"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6" w:type="dxa"/>
            <w:tcBorders>
              <w:top w:val="nil"/>
              <w:left w:val="nil"/>
              <w:bottom w:val="nil"/>
              <w:right w:val="nil"/>
            </w:tcBorders>
            <w:vAlign w:val="center"/>
          </w:tcPr>
          <w:p w14:paraId="469EBE58"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90" w:type="dxa"/>
            <w:tcBorders>
              <w:top w:val="nil"/>
              <w:left w:val="nil"/>
              <w:bottom w:val="nil"/>
            </w:tcBorders>
            <w:vAlign w:val="center"/>
          </w:tcPr>
          <w:p w14:paraId="52F8FF53"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588" w:type="dxa"/>
            <w:tcBorders>
              <w:top w:val="nil"/>
              <w:bottom w:val="nil"/>
              <w:right w:val="nil"/>
            </w:tcBorders>
            <w:vAlign w:val="center"/>
          </w:tcPr>
          <w:p w14:paraId="3567E653"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18" w:type="dxa"/>
            <w:tcBorders>
              <w:top w:val="nil"/>
              <w:left w:val="nil"/>
              <w:bottom w:val="nil"/>
              <w:right w:val="nil"/>
            </w:tcBorders>
            <w:vAlign w:val="center"/>
          </w:tcPr>
          <w:p w14:paraId="6DFBC974"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c>
          <w:tcPr>
            <w:tcW w:w="643" w:type="dxa"/>
            <w:tcBorders>
              <w:top w:val="nil"/>
              <w:left w:val="nil"/>
              <w:bottom w:val="nil"/>
              <w:right w:val="nil"/>
            </w:tcBorders>
            <w:vAlign w:val="center"/>
          </w:tcPr>
          <w:p w14:paraId="6F6C5608" w14:textId="77777777" w:rsidR="00D47A7E" w:rsidRPr="004E2D59" w:rsidRDefault="00D47A7E" w:rsidP="003F4366">
            <w:pPr>
              <w:spacing w:line="276" w:lineRule="auto"/>
              <w:jc w:val="center"/>
              <w:rPr>
                <w:rFonts w:ascii="Calibri" w:eastAsia="Calibri" w:hAnsi="Calibri" w:cs="Times New Roman"/>
                <w:color w:val="595959" w:themeColor="text1" w:themeTint="A6"/>
                <w:sz w:val="4"/>
                <w:szCs w:val="4"/>
              </w:rPr>
            </w:pPr>
          </w:p>
        </w:tc>
      </w:tr>
      <w:tr w:rsidR="00D47A7E" w:rsidRPr="001557C7" w14:paraId="7C3CB2F0" w14:textId="77777777" w:rsidTr="003F4366">
        <w:trPr>
          <w:jc w:val="center"/>
        </w:trPr>
        <w:tc>
          <w:tcPr>
            <w:tcW w:w="854" w:type="dxa"/>
            <w:tcBorders>
              <w:top w:val="nil"/>
              <w:left w:val="nil"/>
              <w:bottom w:val="single" w:sz="4" w:space="0" w:color="auto"/>
            </w:tcBorders>
            <w:vAlign w:val="center"/>
          </w:tcPr>
          <w:p w14:paraId="2B5C1C4D" w14:textId="77777777" w:rsidR="00D47A7E" w:rsidRPr="004E2D59" w:rsidRDefault="00D47A7E" w:rsidP="003F4366">
            <w:pPr>
              <w:spacing w:line="276" w:lineRule="auto"/>
              <w:jc w:val="both"/>
              <w:rPr>
                <w:rFonts w:ascii="Calibri" w:eastAsia="Calibri" w:hAnsi="Calibri" w:cs="Times New Roman"/>
                <w:color w:val="595959" w:themeColor="text1" w:themeTint="A6"/>
                <w:sz w:val="10"/>
                <w:szCs w:val="10"/>
              </w:rPr>
            </w:pPr>
            <w:r w:rsidRPr="004E2D59">
              <w:rPr>
                <w:rFonts w:ascii="Calibri" w:eastAsia="Calibri" w:hAnsi="Calibri" w:cs="Times New Roman"/>
                <w:color w:val="595959" w:themeColor="text1" w:themeTint="A6"/>
                <w:sz w:val="10"/>
                <w:szCs w:val="10"/>
              </w:rPr>
              <w:t>Άλλα επιδόματα</w:t>
            </w:r>
          </w:p>
        </w:tc>
        <w:tc>
          <w:tcPr>
            <w:tcW w:w="674" w:type="dxa"/>
            <w:tcBorders>
              <w:top w:val="nil"/>
              <w:bottom w:val="single" w:sz="4" w:space="0" w:color="auto"/>
              <w:right w:val="nil"/>
            </w:tcBorders>
            <w:vAlign w:val="center"/>
          </w:tcPr>
          <w:p w14:paraId="07B6815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14.121</w:t>
            </w:r>
          </w:p>
        </w:tc>
        <w:tc>
          <w:tcPr>
            <w:tcW w:w="753" w:type="dxa"/>
            <w:tcBorders>
              <w:top w:val="nil"/>
              <w:left w:val="nil"/>
              <w:bottom w:val="single" w:sz="4" w:space="0" w:color="auto"/>
              <w:right w:val="nil"/>
            </w:tcBorders>
            <w:vAlign w:val="center"/>
          </w:tcPr>
          <w:p w14:paraId="7F8D2931"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14.202</w:t>
            </w:r>
          </w:p>
        </w:tc>
        <w:tc>
          <w:tcPr>
            <w:tcW w:w="580" w:type="dxa"/>
            <w:tcBorders>
              <w:top w:val="nil"/>
              <w:left w:val="nil"/>
              <w:bottom w:val="single" w:sz="4" w:space="0" w:color="auto"/>
            </w:tcBorders>
            <w:vAlign w:val="center"/>
          </w:tcPr>
          <w:p w14:paraId="65723249"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11.499</w:t>
            </w:r>
          </w:p>
        </w:tc>
        <w:tc>
          <w:tcPr>
            <w:tcW w:w="580" w:type="dxa"/>
            <w:tcBorders>
              <w:top w:val="nil"/>
              <w:bottom w:val="single" w:sz="4" w:space="0" w:color="auto"/>
              <w:right w:val="nil"/>
            </w:tcBorders>
            <w:vAlign w:val="center"/>
          </w:tcPr>
          <w:p w14:paraId="69001387"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10.874</w:t>
            </w:r>
          </w:p>
        </w:tc>
        <w:tc>
          <w:tcPr>
            <w:tcW w:w="580" w:type="dxa"/>
            <w:tcBorders>
              <w:top w:val="nil"/>
              <w:left w:val="nil"/>
              <w:bottom w:val="single" w:sz="4" w:space="0" w:color="auto"/>
              <w:right w:val="nil"/>
            </w:tcBorders>
            <w:vAlign w:val="center"/>
          </w:tcPr>
          <w:p w14:paraId="42FA094B"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10.680</w:t>
            </w:r>
          </w:p>
        </w:tc>
        <w:tc>
          <w:tcPr>
            <w:tcW w:w="580" w:type="dxa"/>
            <w:tcBorders>
              <w:top w:val="nil"/>
              <w:left w:val="nil"/>
              <w:bottom w:val="single" w:sz="4" w:space="0" w:color="auto"/>
            </w:tcBorders>
            <w:vAlign w:val="center"/>
          </w:tcPr>
          <w:p w14:paraId="0D4367A1"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10.589</w:t>
            </w:r>
          </w:p>
        </w:tc>
        <w:tc>
          <w:tcPr>
            <w:tcW w:w="580" w:type="dxa"/>
            <w:tcBorders>
              <w:top w:val="nil"/>
              <w:bottom w:val="single" w:sz="4" w:space="0" w:color="auto"/>
              <w:right w:val="nil"/>
            </w:tcBorders>
            <w:vAlign w:val="center"/>
          </w:tcPr>
          <w:p w14:paraId="6DEB35BF"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10.710</w:t>
            </w:r>
          </w:p>
        </w:tc>
        <w:tc>
          <w:tcPr>
            <w:tcW w:w="586" w:type="dxa"/>
            <w:tcBorders>
              <w:top w:val="nil"/>
              <w:left w:val="nil"/>
              <w:bottom w:val="single" w:sz="4" w:space="0" w:color="auto"/>
              <w:right w:val="nil"/>
            </w:tcBorders>
            <w:vAlign w:val="center"/>
          </w:tcPr>
          <w:p w14:paraId="7379CB4E"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12.126</w:t>
            </w:r>
          </w:p>
        </w:tc>
        <w:tc>
          <w:tcPr>
            <w:tcW w:w="690" w:type="dxa"/>
            <w:tcBorders>
              <w:top w:val="nil"/>
              <w:left w:val="nil"/>
              <w:bottom w:val="single" w:sz="4" w:space="0" w:color="auto"/>
            </w:tcBorders>
            <w:vAlign w:val="center"/>
          </w:tcPr>
          <w:p w14:paraId="22797755"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rPr>
            </w:pPr>
            <w:r w:rsidRPr="004E2D59">
              <w:rPr>
                <w:rFonts w:ascii="Calibri" w:eastAsia="Calibri" w:hAnsi="Calibri" w:cs="Times New Roman"/>
                <w:color w:val="595959" w:themeColor="text1" w:themeTint="A6"/>
                <w:sz w:val="11"/>
                <w:szCs w:val="11"/>
              </w:rPr>
              <w:t>11.051</w:t>
            </w:r>
          </w:p>
        </w:tc>
        <w:tc>
          <w:tcPr>
            <w:tcW w:w="588" w:type="dxa"/>
            <w:tcBorders>
              <w:top w:val="nil"/>
              <w:bottom w:val="single" w:sz="4" w:space="0" w:color="auto"/>
              <w:right w:val="nil"/>
            </w:tcBorders>
            <w:vAlign w:val="center"/>
          </w:tcPr>
          <w:p w14:paraId="28E3C56E"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11.651</w:t>
            </w:r>
          </w:p>
        </w:tc>
        <w:tc>
          <w:tcPr>
            <w:tcW w:w="618" w:type="dxa"/>
            <w:tcBorders>
              <w:top w:val="nil"/>
              <w:left w:val="nil"/>
              <w:bottom w:val="single" w:sz="4" w:space="0" w:color="auto"/>
              <w:right w:val="nil"/>
            </w:tcBorders>
            <w:vAlign w:val="center"/>
          </w:tcPr>
          <w:p w14:paraId="4519E6BA" w14:textId="77777777" w:rsidR="00D47A7E" w:rsidRPr="004E2D59" w:rsidRDefault="00D47A7E" w:rsidP="003F4366">
            <w:pPr>
              <w:spacing w:line="276" w:lineRule="auto"/>
              <w:ind w:hanging="52"/>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14.186</w:t>
            </w:r>
          </w:p>
        </w:tc>
        <w:tc>
          <w:tcPr>
            <w:tcW w:w="643" w:type="dxa"/>
            <w:tcBorders>
              <w:top w:val="nil"/>
              <w:left w:val="nil"/>
              <w:bottom w:val="single" w:sz="4" w:space="0" w:color="auto"/>
              <w:right w:val="nil"/>
            </w:tcBorders>
            <w:vAlign w:val="center"/>
          </w:tcPr>
          <w:p w14:paraId="0DB53847" w14:textId="77777777" w:rsidR="00D47A7E" w:rsidRPr="004E2D59" w:rsidRDefault="00D47A7E" w:rsidP="003F4366">
            <w:pPr>
              <w:spacing w:line="276" w:lineRule="auto"/>
              <w:jc w:val="center"/>
              <w:rPr>
                <w:rFonts w:ascii="Calibri" w:eastAsia="Calibri" w:hAnsi="Calibri" w:cs="Times New Roman"/>
                <w:color w:val="595959" w:themeColor="text1" w:themeTint="A6"/>
                <w:sz w:val="11"/>
                <w:szCs w:val="11"/>
                <w:lang w:val="en-US"/>
              </w:rPr>
            </w:pPr>
            <w:r w:rsidRPr="004E2D59">
              <w:rPr>
                <w:rFonts w:ascii="Calibri" w:eastAsia="Calibri" w:hAnsi="Calibri" w:cs="Times New Roman"/>
                <w:color w:val="595959" w:themeColor="text1" w:themeTint="A6"/>
                <w:sz w:val="11"/>
                <w:szCs w:val="11"/>
                <w:lang w:val="en-US"/>
              </w:rPr>
              <w:t>13.669</w:t>
            </w:r>
          </w:p>
        </w:tc>
      </w:tr>
      <w:tr w:rsidR="00D47A7E" w:rsidRPr="001557C7" w14:paraId="7FC7C9C0" w14:textId="77777777" w:rsidTr="003F4366">
        <w:trPr>
          <w:jc w:val="center"/>
        </w:trPr>
        <w:tc>
          <w:tcPr>
            <w:tcW w:w="8306" w:type="dxa"/>
            <w:gridSpan w:val="13"/>
            <w:tcBorders>
              <w:top w:val="single" w:sz="4" w:space="0" w:color="auto"/>
              <w:left w:val="nil"/>
              <w:bottom w:val="nil"/>
              <w:right w:val="nil"/>
            </w:tcBorders>
            <w:vAlign w:val="center"/>
          </w:tcPr>
          <w:p w14:paraId="3FA99567" w14:textId="77777777" w:rsidR="00D47A7E" w:rsidRPr="004E2D59" w:rsidRDefault="00D47A7E" w:rsidP="003F4366">
            <w:pPr>
              <w:spacing w:line="276" w:lineRule="auto"/>
              <w:ind w:left="601" w:hanging="709"/>
              <w:jc w:val="both"/>
              <w:rPr>
                <w:rFonts w:ascii="Calibri" w:eastAsia="Times New Roman" w:hAnsi="Calibri" w:cs="Times New Roman"/>
                <w:bCs/>
                <w:color w:val="595959" w:themeColor="text1" w:themeTint="A6"/>
                <w:sz w:val="16"/>
                <w:szCs w:val="16"/>
                <w:lang w:eastAsia="el-GR"/>
              </w:rPr>
            </w:pPr>
            <w:r w:rsidRPr="004E2D59">
              <w:rPr>
                <w:rFonts w:ascii="Calibri" w:eastAsia="Times New Roman" w:hAnsi="Calibri" w:cs="Times New Roman"/>
                <w:bCs/>
                <w:color w:val="595959" w:themeColor="text1" w:themeTint="A6"/>
                <w:sz w:val="16"/>
                <w:szCs w:val="16"/>
                <w:lang w:eastAsia="el-GR"/>
              </w:rPr>
              <w:t xml:space="preserve">Σημείωση: Στα “Άλλα επιδόματα” περιλαμβάνονται τα επιδόματα στεγαστικής συνδρομής, ομογενών, ορεινών &amp; μειονεκτικών περιοχών, τα έξοδα κηδείας, η συνεισφορά του Δημοσίου στα κόκκινα δάνεια, το επίδομα στα προστατευόμενα τέκνα θανόντων σε φυσικές καταστροφές και το επίδομα αναδοχής (από τον Ιούνιο 2021 και μετά). </w:t>
            </w:r>
          </w:p>
          <w:p w14:paraId="67D55FC4" w14:textId="77777777" w:rsidR="00D47A7E" w:rsidRPr="004E2D59" w:rsidRDefault="00D47A7E" w:rsidP="003F4366">
            <w:pPr>
              <w:spacing w:line="276" w:lineRule="auto"/>
              <w:ind w:left="601" w:hanging="709"/>
              <w:jc w:val="both"/>
              <w:rPr>
                <w:rFonts w:ascii="Calibri" w:eastAsia="Times New Roman" w:hAnsi="Calibri" w:cs="Times New Roman"/>
                <w:bCs/>
                <w:color w:val="595959" w:themeColor="text1" w:themeTint="A6"/>
                <w:sz w:val="16"/>
                <w:szCs w:val="16"/>
                <w:lang w:eastAsia="el-GR"/>
              </w:rPr>
            </w:pPr>
            <w:r w:rsidRPr="004E2D59">
              <w:rPr>
                <w:rFonts w:ascii="Calibri" w:eastAsia="Times New Roman" w:hAnsi="Calibri" w:cs="Times New Roman"/>
                <w:bCs/>
                <w:color w:val="595959" w:themeColor="text1" w:themeTint="A6"/>
                <w:sz w:val="16"/>
                <w:szCs w:val="16"/>
                <w:lang w:eastAsia="el-GR"/>
              </w:rPr>
              <w:t>Πηγή: ΟΠΕΚΑ</w:t>
            </w:r>
          </w:p>
        </w:tc>
      </w:tr>
    </w:tbl>
    <w:p w14:paraId="2E93CC01" w14:textId="77777777" w:rsidR="00A5612F" w:rsidRDefault="00A5612F" w:rsidP="00573885">
      <w:pPr>
        <w:spacing w:after="0"/>
      </w:pPr>
    </w:p>
    <w:p w14:paraId="77060293" w14:textId="77777777" w:rsidR="00004458" w:rsidRPr="001853D9" w:rsidRDefault="00004458" w:rsidP="001853D9">
      <w:pPr>
        <w:pStyle w:val="Heading2"/>
        <w:spacing w:before="0"/>
        <w:rPr>
          <w:rFonts w:eastAsia="Times New Roman" w:cstheme="majorHAnsi"/>
        </w:rPr>
      </w:pPr>
      <w:bookmarkStart w:id="183" w:name="_Toc67307450"/>
      <w:bookmarkStart w:id="184" w:name="_Toc82689384"/>
      <w:bookmarkStart w:id="185" w:name="_Toc82713982"/>
      <w:bookmarkStart w:id="186" w:name="_Toc82714716"/>
      <w:bookmarkStart w:id="187" w:name="_Toc98160541"/>
      <w:bookmarkEnd w:id="151"/>
      <w:bookmarkEnd w:id="152"/>
      <w:bookmarkEnd w:id="157"/>
      <w:r w:rsidRPr="001853D9">
        <w:rPr>
          <w:rFonts w:eastAsia="Times New Roman" w:cstheme="majorHAnsi"/>
        </w:rPr>
        <w:t>3.</w:t>
      </w:r>
      <w:r w:rsidR="008917D5">
        <w:rPr>
          <w:rFonts w:eastAsia="Times New Roman" w:cstheme="majorHAnsi"/>
        </w:rPr>
        <w:t>3</w:t>
      </w:r>
      <w:r w:rsidRPr="001853D9">
        <w:rPr>
          <w:rFonts w:eastAsia="Times New Roman" w:cstheme="majorHAnsi"/>
        </w:rPr>
        <w:t>. Αποκρατικοποιήσεις</w:t>
      </w:r>
      <w:bookmarkEnd w:id="183"/>
      <w:bookmarkEnd w:id="184"/>
      <w:bookmarkEnd w:id="185"/>
      <w:bookmarkEnd w:id="186"/>
      <w:bookmarkEnd w:id="187"/>
      <w:r w:rsidRPr="001853D9">
        <w:rPr>
          <w:rFonts w:eastAsia="Times New Roman" w:cstheme="majorHAnsi"/>
        </w:rPr>
        <w:t xml:space="preserve"> </w:t>
      </w:r>
    </w:p>
    <w:p w14:paraId="3C9DB4CB" w14:textId="77777777" w:rsidR="00004458" w:rsidRPr="001853D9" w:rsidRDefault="00004458" w:rsidP="005A6A28">
      <w:pPr>
        <w:spacing w:after="0" w:line="276" w:lineRule="auto"/>
        <w:jc w:val="both"/>
        <w:rPr>
          <w:rFonts w:asciiTheme="majorHAnsi" w:eastAsia="Calibri" w:hAnsiTheme="majorHAnsi" w:cstheme="majorHAnsi"/>
        </w:rPr>
      </w:pPr>
    </w:p>
    <w:p w14:paraId="092D9F19" w14:textId="77777777" w:rsidR="009F24B3" w:rsidRDefault="007B7D61" w:rsidP="00706DA6">
      <w:pPr>
        <w:autoSpaceDE w:val="0"/>
        <w:autoSpaceDN w:val="0"/>
        <w:adjustRightInd w:val="0"/>
        <w:spacing w:after="0" w:line="276" w:lineRule="auto"/>
        <w:jc w:val="both"/>
        <w:rPr>
          <w:rFonts w:eastAsia="Calibri" w:cstheme="majorHAnsi"/>
          <w:color w:val="595959" w:themeColor="text1" w:themeTint="A6"/>
        </w:rPr>
      </w:pPr>
      <w:r w:rsidRPr="00573885">
        <w:rPr>
          <w:rFonts w:eastAsia="Calibri" w:cstheme="majorHAnsi"/>
          <w:color w:val="595959" w:themeColor="text1" w:themeTint="A6"/>
        </w:rPr>
        <w:t>Σ</w:t>
      </w:r>
      <w:r w:rsidR="00004458" w:rsidRPr="00573885">
        <w:rPr>
          <w:rFonts w:eastAsia="Calibri" w:cstheme="majorHAnsi"/>
          <w:color w:val="595959" w:themeColor="text1" w:themeTint="A6"/>
        </w:rPr>
        <w:t>ύμφωνα με τις επίσημες ανακοινώ</w:t>
      </w:r>
      <w:r w:rsidR="00290F27">
        <w:rPr>
          <w:rFonts w:eastAsia="Calibri" w:cstheme="majorHAnsi"/>
          <w:color w:val="595959" w:themeColor="text1" w:themeTint="A6"/>
        </w:rPr>
        <w:t>σ</w:t>
      </w:r>
      <w:r w:rsidR="00004458" w:rsidRPr="00573885">
        <w:rPr>
          <w:rFonts w:eastAsia="Calibri" w:cstheme="majorHAnsi"/>
          <w:color w:val="595959" w:themeColor="text1" w:themeTint="A6"/>
        </w:rPr>
        <w:t xml:space="preserve">εις </w:t>
      </w:r>
      <w:r w:rsidR="00727151">
        <w:rPr>
          <w:rFonts w:eastAsia="Calibri" w:cstheme="majorHAnsi"/>
          <w:color w:val="595959" w:themeColor="text1" w:themeTint="A6"/>
        </w:rPr>
        <w:t xml:space="preserve">του ΤΑΙΠΕΔ </w:t>
      </w:r>
      <w:r w:rsidR="00511A8B" w:rsidRPr="00573885">
        <w:rPr>
          <w:rFonts w:eastAsia="Calibri" w:cstheme="majorHAnsi"/>
          <w:color w:val="595959" w:themeColor="text1" w:themeTint="A6"/>
        </w:rPr>
        <w:t>υπήρξαν οι ακόλουθες εξελίξεις</w:t>
      </w:r>
      <w:r w:rsidR="00004458" w:rsidRPr="00573885">
        <w:rPr>
          <w:rFonts w:eastAsia="Calibri" w:cstheme="majorHAnsi"/>
          <w:color w:val="595959" w:themeColor="text1" w:themeTint="A6"/>
        </w:rPr>
        <w:t xml:space="preserve">: </w:t>
      </w:r>
    </w:p>
    <w:p w14:paraId="363D4345" w14:textId="77777777" w:rsidR="00706DA6" w:rsidRDefault="00706DA6" w:rsidP="00272080">
      <w:pPr>
        <w:autoSpaceDE w:val="0"/>
        <w:autoSpaceDN w:val="0"/>
        <w:adjustRightInd w:val="0"/>
        <w:spacing w:after="0" w:line="276" w:lineRule="auto"/>
        <w:jc w:val="both"/>
        <w:rPr>
          <w:rFonts w:eastAsia="Calibri" w:cstheme="majorHAnsi"/>
          <w:color w:val="595959" w:themeColor="text1" w:themeTint="A6"/>
        </w:rPr>
      </w:pPr>
    </w:p>
    <w:p w14:paraId="674A88F4" w14:textId="77777777" w:rsidR="001168DB" w:rsidRPr="00727151" w:rsidRDefault="009F24B3" w:rsidP="00727151">
      <w:pPr>
        <w:pStyle w:val="ListParagraph"/>
        <w:numPr>
          <w:ilvl w:val="0"/>
          <w:numId w:val="22"/>
        </w:numPr>
        <w:autoSpaceDE w:val="0"/>
        <w:autoSpaceDN w:val="0"/>
        <w:adjustRightInd w:val="0"/>
        <w:spacing w:after="0" w:line="276" w:lineRule="auto"/>
        <w:jc w:val="both"/>
        <w:rPr>
          <w:rFonts w:eastAsia="Calibri" w:cstheme="majorHAnsi"/>
          <w:color w:val="595959" w:themeColor="text1" w:themeTint="A6"/>
        </w:rPr>
      </w:pPr>
      <w:r w:rsidRPr="001A0882">
        <w:rPr>
          <w:rFonts w:eastAsia="Calibri" w:cstheme="majorHAnsi"/>
          <w:color w:val="595959" w:themeColor="text1" w:themeTint="A6"/>
        </w:rPr>
        <w:lastRenderedPageBreak/>
        <w:t>Τον Δεκέμβριο</w:t>
      </w:r>
      <w:r w:rsidR="00B85D4C" w:rsidRPr="001A0882">
        <w:rPr>
          <w:rFonts w:eastAsia="Calibri" w:cstheme="majorHAnsi"/>
          <w:color w:val="595959" w:themeColor="text1" w:themeTint="A6"/>
        </w:rPr>
        <w:t xml:space="preserve"> </w:t>
      </w:r>
      <w:r w:rsidR="00B85D4C" w:rsidRPr="00727151">
        <w:rPr>
          <w:rFonts w:eastAsia="Calibri" w:cstheme="majorHAnsi"/>
          <w:color w:val="595959" w:themeColor="text1" w:themeTint="A6"/>
        </w:rPr>
        <w:t>2021</w:t>
      </w:r>
      <w:r w:rsidR="001A0882" w:rsidRPr="00727151">
        <w:rPr>
          <w:rFonts w:eastAsia="Calibri" w:cstheme="majorHAnsi"/>
          <w:color w:val="595959" w:themeColor="text1" w:themeTint="A6"/>
        </w:rPr>
        <w:t xml:space="preserve"> </w:t>
      </w:r>
      <w:hyperlink r:id="rId72" w:history="1">
        <w:r w:rsidR="00B85D4C" w:rsidRPr="00727151">
          <w:rPr>
            <w:rStyle w:val="Hyperlink"/>
            <w:rFonts w:eastAsia="Calibri" w:cstheme="majorHAnsi"/>
            <w:color w:val="595959" w:themeColor="text1" w:themeTint="A6"/>
          </w:rPr>
          <w:t xml:space="preserve">ολοκληρώθηκε </w:t>
        </w:r>
      </w:hyperlink>
      <w:r w:rsidR="00B85D4C" w:rsidRPr="00727151">
        <w:rPr>
          <w:rFonts w:eastAsia="Calibri" w:cstheme="majorHAnsi"/>
          <w:color w:val="595959" w:themeColor="text1" w:themeTint="A6"/>
        </w:rPr>
        <w:t>η ηλεκ</w:t>
      </w:r>
      <w:r w:rsidR="00B85D4C" w:rsidRPr="001A0882">
        <w:rPr>
          <w:rFonts w:eastAsia="Calibri" w:cstheme="majorHAnsi"/>
          <w:color w:val="595959" w:themeColor="text1" w:themeTint="A6"/>
        </w:rPr>
        <w:t xml:space="preserve">τρονική δημοπρασία (e-Auction IX) με δικαίωμα αντιπροσφορών για την αξιοποίηση του παραθαλάσσιου ακινήτου στη Νέα Ηρακλείτσα Καβάλας. Η τελική προσφορά </w:t>
      </w:r>
      <w:r w:rsidR="008A26AE">
        <w:rPr>
          <w:rFonts w:eastAsia="Calibri" w:cstheme="majorHAnsi"/>
          <w:color w:val="595959" w:themeColor="text1" w:themeTint="A6"/>
        </w:rPr>
        <w:t>ήταν</w:t>
      </w:r>
      <w:r w:rsidR="00B85D4C" w:rsidRPr="001A0882">
        <w:rPr>
          <w:rFonts w:eastAsia="Calibri" w:cstheme="majorHAnsi"/>
          <w:color w:val="595959" w:themeColor="text1" w:themeTint="A6"/>
        </w:rPr>
        <w:t xml:space="preserve"> </w:t>
      </w:r>
      <w:r w:rsidR="00727151">
        <w:rPr>
          <w:rFonts w:eastAsia="Calibri" w:cstheme="majorHAnsi"/>
          <w:color w:val="595959" w:themeColor="text1" w:themeTint="A6"/>
        </w:rPr>
        <w:t xml:space="preserve">18,5 εκατ. ευρώ με τιμή εκκίνησης </w:t>
      </w:r>
      <w:r w:rsidR="00B85D4C" w:rsidRPr="001A0882">
        <w:rPr>
          <w:rFonts w:eastAsia="Calibri" w:cstheme="majorHAnsi"/>
          <w:color w:val="595959" w:themeColor="text1" w:themeTint="A6"/>
        </w:rPr>
        <w:t xml:space="preserve">9,1 εκατ. ευρώ. Το Διοικητικό Συμβούλιο του ΤΑΙΠΕΔ αναμένεται να συγκληθεί το επόμενο διάστημα για την επικύρωση του αποτελέσματος του e-Auction ΙΧ. </w:t>
      </w:r>
    </w:p>
    <w:sectPr w:rsidR="001168DB" w:rsidRPr="00727151" w:rsidSect="005B0509">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8686" w14:textId="77777777" w:rsidR="0059099F" w:rsidRDefault="0059099F" w:rsidP="001C5EA7">
      <w:pPr>
        <w:spacing w:after="0" w:line="240" w:lineRule="auto"/>
      </w:pPr>
      <w:r>
        <w:separator/>
      </w:r>
    </w:p>
  </w:endnote>
  <w:endnote w:type="continuationSeparator" w:id="0">
    <w:p w14:paraId="74C8572E" w14:textId="77777777" w:rsidR="0059099F" w:rsidRDefault="0059099F" w:rsidP="001C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9897" w14:textId="424DF87E" w:rsidR="00735FB9" w:rsidRPr="005A1528" w:rsidRDefault="00735FB9">
    <w:pPr>
      <w:pStyle w:val="FooterEven"/>
      <w:rPr>
        <w:color w:val="2F5496" w:themeColor="accent1" w:themeShade="BF"/>
        <w:sz w:val="24"/>
        <w:szCs w:val="24"/>
        <w:lang w:val="el-GR"/>
      </w:rPr>
    </w:pPr>
    <w:r w:rsidRPr="005A1528">
      <w:rPr>
        <w:rFonts w:eastAsiaTheme="majorEastAsia" w:cstheme="majorBidi"/>
        <w:color w:val="2F5496" w:themeColor="accent1" w:themeShade="BF"/>
        <w:sz w:val="24"/>
        <w:szCs w:val="24"/>
        <w:lang w:val="el-GR"/>
      </w:rPr>
      <w:t>Γραφείο Προϋπολογισμού του Κράτους στη Βουλή</w:t>
    </w:r>
    <w:r w:rsidRPr="005A1528">
      <w:rPr>
        <w:rFonts w:eastAsiaTheme="majorEastAsia" w:cstheme="majorBidi"/>
        <w:color w:val="2F5496" w:themeColor="accent1" w:themeShade="BF"/>
        <w:sz w:val="24"/>
        <w:szCs w:val="24"/>
        <w:lang w:val="el-GR"/>
      </w:rPr>
      <w:ptab w:relativeTo="margin" w:alignment="right" w:leader="none"/>
    </w:r>
    <w:r w:rsidR="009B7AD0" w:rsidRPr="005A1528">
      <w:rPr>
        <w:rFonts w:eastAsiaTheme="minorEastAsia" w:cstheme="minorBidi"/>
        <w:color w:val="2F5496" w:themeColor="accent1" w:themeShade="BF"/>
        <w:sz w:val="24"/>
        <w:szCs w:val="24"/>
        <w:lang w:val="el-GR"/>
      </w:rPr>
      <w:fldChar w:fldCharType="begin"/>
    </w:r>
    <w:r w:rsidRPr="005A1528">
      <w:rPr>
        <w:color w:val="2F5496" w:themeColor="accent1" w:themeShade="BF"/>
        <w:sz w:val="24"/>
        <w:szCs w:val="24"/>
        <w:lang w:val="el-GR"/>
      </w:rPr>
      <w:instrText>PAGE   \* MERGEFORMAT</w:instrText>
    </w:r>
    <w:r w:rsidR="009B7AD0" w:rsidRPr="005A1528">
      <w:rPr>
        <w:rFonts w:eastAsiaTheme="minorEastAsia" w:cstheme="minorBidi"/>
        <w:color w:val="2F5496" w:themeColor="accent1" w:themeShade="BF"/>
        <w:sz w:val="24"/>
        <w:szCs w:val="24"/>
        <w:lang w:val="el-GR"/>
      </w:rPr>
      <w:fldChar w:fldCharType="separate"/>
    </w:r>
    <w:r w:rsidRPr="008E0238">
      <w:rPr>
        <w:rFonts w:eastAsiaTheme="majorEastAsia" w:cstheme="majorBidi"/>
        <w:noProof/>
        <w:color w:val="2F5496" w:themeColor="accent1" w:themeShade="BF"/>
        <w:sz w:val="24"/>
        <w:szCs w:val="24"/>
        <w:lang w:val="el-GR"/>
      </w:rPr>
      <w:t>32</w:t>
    </w:r>
    <w:r w:rsidR="009B7AD0" w:rsidRPr="005A1528">
      <w:rPr>
        <w:rFonts w:eastAsiaTheme="majorEastAsia" w:cstheme="majorBidi"/>
        <w:color w:val="2F5496" w:themeColor="accent1" w:themeShade="BF"/>
        <w:sz w:val="24"/>
        <w:szCs w:val="24"/>
        <w:lang w:val="el-GR"/>
      </w:rPr>
      <w:fldChar w:fldCharType="end"/>
    </w:r>
    <w:r w:rsidR="0034064E">
      <w:rPr>
        <w:noProof/>
        <w:color w:val="2F5496" w:themeColor="accent1" w:themeShade="BF"/>
        <w:sz w:val="24"/>
        <w:szCs w:val="24"/>
        <w:lang w:eastAsia="en-US"/>
      </w:rPr>
      <mc:AlternateContent>
        <mc:Choice Requires="wpg">
          <w:drawing>
            <wp:anchor distT="0" distB="0" distL="114300" distR="114300" simplePos="0" relativeHeight="251656192" behindDoc="0" locked="0" layoutInCell="0" allowOverlap="1" wp14:anchorId="61D41717" wp14:editId="46839DEA">
              <wp:simplePos x="0" y="0"/>
              <wp:positionH relativeFrom="page">
                <wp:align>center</wp:align>
              </wp:positionH>
              <wp:positionV relativeFrom="page">
                <wp:align>bottom</wp:align>
              </wp:positionV>
              <wp:extent cx="7757160" cy="822960"/>
              <wp:effectExtent l="0" t="0" r="0" b="0"/>
              <wp:wrapNone/>
              <wp:docPr id="441" name="Ομάδα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F52A250" id="Ομάδα 391" o:spid="_x0000_s1026" style="position:absolute;margin-left:0;margin-top:0;width:610.8pt;height:64.8pt;flip:y;z-index:25165619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34064E">
      <w:rPr>
        <w:noProof/>
        <w:color w:val="2F5496" w:themeColor="accent1" w:themeShade="BF"/>
        <w:sz w:val="24"/>
        <w:szCs w:val="24"/>
        <w:lang w:eastAsia="en-US"/>
      </w:rPr>
      <mc:AlternateContent>
        <mc:Choice Requires="wps">
          <w:drawing>
            <wp:anchor distT="0" distB="0" distL="114300" distR="114300" simplePos="0" relativeHeight="251669504" behindDoc="0" locked="0" layoutInCell="1" allowOverlap="1" wp14:anchorId="2086C4A5" wp14:editId="4891C85E">
              <wp:simplePos x="0" y="0"/>
              <wp:positionH relativeFrom="leftMargin">
                <wp:align>center</wp:align>
              </wp:positionH>
              <wp:positionV relativeFrom="page">
                <wp:align>bottom</wp:align>
              </wp:positionV>
              <wp:extent cx="90805" cy="822960"/>
              <wp:effectExtent l="0" t="0" r="4445" b="0"/>
              <wp:wrapNone/>
              <wp:docPr id="444" name="Ορθογώνιο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E2AAF71" id="Ορθογώνιο 393" o:spid="_x0000_s1026" style="position:absolute;margin-left:0;margin-top:0;width:7.15pt;height:64.8pt;z-index:25166950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FuujXMOAgAA&#10;GgQAAA4AAAAAAAAAAAAAAAAALgIAAGRycy9lMm9Eb2MueG1sUEsBAi0AFAAGAAgAAAAhANuwKwfc&#10;AAAABAEAAA8AAAAAAAAAAAAAAAAAaAQAAGRycy9kb3ducmV2LnhtbFBLBQYAAAAABAAEAPMAAABx&#10;BQAAAAA=&#10;" fillcolor="#5b9bd5 [3208]" strokecolor="#4472c4 [3204]">
              <w10:wrap anchorx="margin" anchory="page"/>
            </v:rect>
          </w:pict>
        </mc:Fallback>
      </mc:AlternateContent>
    </w:r>
    <w:r w:rsidR="0034064E">
      <w:rPr>
        <w:noProof/>
        <w:color w:val="2F5496" w:themeColor="accent1" w:themeShade="BF"/>
        <w:sz w:val="24"/>
        <w:szCs w:val="24"/>
        <w:lang w:eastAsia="en-US"/>
      </w:rPr>
      <mc:AlternateContent>
        <mc:Choice Requires="wps">
          <w:drawing>
            <wp:anchor distT="0" distB="0" distL="114300" distR="114300" simplePos="0" relativeHeight="251665408" behindDoc="0" locked="0" layoutInCell="1" allowOverlap="1" wp14:anchorId="6D32A802" wp14:editId="34F14D4B">
              <wp:simplePos x="0" y="0"/>
              <wp:positionH relativeFrom="rightMargin">
                <wp:align>center</wp:align>
              </wp:positionH>
              <wp:positionV relativeFrom="page">
                <wp:align>bottom</wp:align>
              </wp:positionV>
              <wp:extent cx="91440" cy="822960"/>
              <wp:effectExtent l="0" t="0" r="3810" b="0"/>
              <wp:wrapNone/>
              <wp:docPr id="445" name="Ορθογώνιο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2A1F12E" id="Ορθογώνιο 395" o:spid="_x0000_s1026" style="position:absolute;margin-left:0;margin-top:0;width:7.2pt;height:64.8pt;z-index:25166540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" fillcolor="#5b9bd5 [3208]" strokecolor="#4472c4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sz w:val="24"/>
        <w:szCs w:val="24"/>
      </w:rPr>
      <w:id w:val="1886530257"/>
      <w:docPartObj>
        <w:docPartGallery w:val="Page Numbers (Bottom of Page)"/>
        <w:docPartUnique/>
      </w:docPartObj>
    </w:sdtPr>
    <w:sdtEndPr>
      <w:rPr>
        <w:noProof/>
      </w:rPr>
    </w:sdtEndPr>
    <w:sdtContent>
      <w:p w14:paraId="6988B786" w14:textId="149578F4" w:rsidR="00735FB9" w:rsidRPr="00DB1594" w:rsidRDefault="0034064E">
        <w:pPr>
          <w:pStyle w:val="Footer"/>
          <w:jc w:val="center"/>
          <w:rPr>
            <w:color w:val="2F5496" w:themeColor="accent1" w:themeShade="BF"/>
            <w:sz w:val="24"/>
            <w:szCs w:val="24"/>
          </w:rPr>
        </w:pPr>
        <w:r>
          <w:rPr>
            <w:noProof/>
            <w:color w:val="2F5496" w:themeColor="accent1" w:themeShade="BF"/>
            <w:sz w:val="24"/>
            <w:szCs w:val="24"/>
            <w:lang w:val="en-US"/>
          </w:rPr>
          <mc:AlternateContent>
            <mc:Choice Requires="wps">
              <w:drawing>
                <wp:inline distT="0" distB="0" distL="0" distR="0" wp14:anchorId="4B644C29" wp14:editId="488E4262">
                  <wp:extent cx="5467350" cy="54610"/>
                  <wp:effectExtent l="9525" t="12065" r="9525" b="952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accent1">
                              <a:lumMod val="75000"/>
                              <a:lumOff val="0"/>
                            </a:schemeClr>
                          </a:solidFill>
                          <a:ln w="952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49CB7A45"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" fillcolor="#2f5496 [2404]" strokecolor="#2f5496 [2404]">
                  <w10:anchorlock/>
                </v:shape>
              </w:pict>
            </mc:Fallback>
          </mc:AlternateContent>
        </w:r>
      </w:p>
      <w:p w14:paraId="3CF57F2C" w14:textId="77777777" w:rsidR="00735FB9" w:rsidRPr="00DB1594" w:rsidRDefault="00735FB9">
        <w:pPr>
          <w:pStyle w:val="Footer"/>
          <w:jc w:val="center"/>
          <w:rPr>
            <w:color w:val="2F5496" w:themeColor="accent1" w:themeShade="BF"/>
            <w:sz w:val="24"/>
            <w:szCs w:val="24"/>
          </w:rPr>
        </w:pPr>
        <w:r w:rsidRPr="00DB1594">
          <w:rPr>
            <w:rFonts w:eastAsiaTheme="majorEastAsia" w:cstheme="majorBidi"/>
            <w:color w:val="2F5496" w:themeColor="accent1" w:themeShade="BF"/>
            <w:sz w:val="24"/>
            <w:szCs w:val="24"/>
          </w:rPr>
          <w:t>Γραφείο Προϋπολογισμού του Κράτους στη Βουλή</w:t>
        </w:r>
        <w:r w:rsidRPr="00DB1594">
          <w:rPr>
            <w:color w:val="2F5496" w:themeColor="accent1" w:themeShade="BF"/>
            <w:sz w:val="24"/>
            <w:szCs w:val="24"/>
          </w:rPr>
          <w:t xml:space="preserve"> </w:t>
        </w:r>
      </w:p>
      <w:p w14:paraId="311C9F9D" w14:textId="77777777" w:rsidR="00735FB9" w:rsidRPr="00DB1594" w:rsidRDefault="009B7AD0" w:rsidP="00DB1594">
        <w:pPr>
          <w:pStyle w:val="Footer"/>
          <w:jc w:val="center"/>
        </w:pPr>
        <w:r w:rsidRPr="00DB1594">
          <w:rPr>
            <w:color w:val="2F5496" w:themeColor="accent1" w:themeShade="BF"/>
            <w:sz w:val="24"/>
            <w:szCs w:val="24"/>
          </w:rPr>
          <w:fldChar w:fldCharType="begin"/>
        </w:r>
        <w:r w:rsidR="00735FB9" w:rsidRPr="00DB1594">
          <w:rPr>
            <w:color w:val="2F5496" w:themeColor="accent1" w:themeShade="BF"/>
            <w:sz w:val="24"/>
            <w:szCs w:val="24"/>
          </w:rPr>
          <w:instrText xml:space="preserve"> PAGE    \* MERGEFORMAT </w:instrText>
        </w:r>
        <w:r w:rsidRPr="00DB1594">
          <w:rPr>
            <w:color w:val="2F5496" w:themeColor="accent1" w:themeShade="BF"/>
            <w:sz w:val="24"/>
            <w:szCs w:val="24"/>
          </w:rPr>
          <w:fldChar w:fldCharType="separate"/>
        </w:r>
        <w:r w:rsidR="00D42ADE">
          <w:rPr>
            <w:noProof/>
            <w:color w:val="2F5496" w:themeColor="accent1" w:themeShade="BF"/>
            <w:sz w:val="24"/>
            <w:szCs w:val="24"/>
          </w:rPr>
          <w:t>9</w:t>
        </w:r>
        <w:r w:rsidRPr="00DB1594">
          <w:rPr>
            <w:noProof/>
            <w:color w:val="2F5496" w:themeColor="accent1" w:themeShade="B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6DCB" w14:textId="77777777" w:rsidR="0059099F" w:rsidRDefault="0059099F" w:rsidP="001C5EA7">
      <w:pPr>
        <w:spacing w:after="0" w:line="240" w:lineRule="auto"/>
      </w:pPr>
      <w:r>
        <w:separator/>
      </w:r>
    </w:p>
  </w:footnote>
  <w:footnote w:type="continuationSeparator" w:id="0">
    <w:p w14:paraId="0D141DCA" w14:textId="77777777" w:rsidR="0059099F" w:rsidRDefault="0059099F" w:rsidP="001C5EA7">
      <w:pPr>
        <w:spacing w:after="0" w:line="240" w:lineRule="auto"/>
      </w:pPr>
      <w:r>
        <w:continuationSeparator/>
      </w:r>
    </w:p>
  </w:footnote>
  <w:footnote w:id="1">
    <w:p w14:paraId="37B84C47" w14:textId="77777777" w:rsidR="00735FB9" w:rsidRPr="00A24E30" w:rsidRDefault="00735FB9" w:rsidP="008D16D4">
      <w:pPr>
        <w:pStyle w:val="FootnoteText"/>
        <w:spacing w:line="276" w:lineRule="auto"/>
      </w:pPr>
      <w:r w:rsidRPr="00A24E30">
        <w:rPr>
          <w:rStyle w:val="FootnoteReference"/>
          <w:color w:val="595959"/>
        </w:rPr>
        <w:footnoteRef/>
      </w:r>
      <w:r w:rsidRPr="00A24E30">
        <w:rPr>
          <w:color w:val="595959"/>
        </w:rPr>
        <w:t xml:space="preserve"> </w:t>
      </w:r>
      <w:r>
        <w:rPr>
          <w:color w:val="595959"/>
        </w:rPr>
        <w:tab/>
      </w:r>
      <w:r w:rsidRPr="00A24E30">
        <w:rPr>
          <w:color w:val="595959"/>
        </w:rPr>
        <w:t>Οι προβλέψεις στο βασικό σενάριο βασίζονται στην υπόθεση ότι οι τρέχουσες διαταραχές στον ενεργειακό εφοδιασμό και οι αρνητικές επιπτώσεις στην εμπιστοσύνη που συνδέονται με τον πόλεμο είναι προσωρινές και ότι οι παγκόσμιες εφοδιαστικές αλυσίδες δεν επηρεάζονται σημαντικά.</w:t>
      </w:r>
    </w:p>
  </w:footnote>
  <w:footnote w:id="2">
    <w:p w14:paraId="3453004F" w14:textId="77777777" w:rsidR="00735FB9" w:rsidRDefault="00735FB9" w:rsidP="008D16D4">
      <w:pPr>
        <w:pStyle w:val="FootnoteText"/>
        <w:spacing w:line="276" w:lineRule="auto"/>
      </w:pPr>
      <w:r>
        <w:rPr>
          <w:rStyle w:val="FootnoteReference"/>
        </w:rPr>
        <w:footnoteRef/>
      </w:r>
      <w:r>
        <w:tab/>
      </w:r>
      <w:r w:rsidRPr="00665C91">
        <w:rPr>
          <w:color w:val="595959"/>
        </w:rPr>
        <w:t xml:space="preserve">Οι αποκρατικοποιήσεις έχουν ιδιαίτερη δημοσιονομική μεταχείριση. Αν πρόκειται για χρηματοοικονομικές συναλλαγές, όπως η αγοραπωλησία μετοχών, τότε δεν καταγράφονται καθόλου στο αποτέλεσμα. Αν πρόκειται για πωλήσεις μη χρηματοοικονομικών περιουσιακών στοιχείων, όπως ακίνητα, τότε καταγράφονται στο αποτέλεσμα κατά </w:t>
      </w:r>
      <w:r w:rsidRPr="00665C91">
        <w:rPr>
          <w:color w:val="595959"/>
          <w:lang w:val="en-US"/>
        </w:rPr>
        <w:t>ESA</w:t>
      </w:r>
      <w:r w:rsidRPr="00665C91">
        <w:rPr>
          <w:color w:val="595959"/>
        </w:rPr>
        <w:t xml:space="preserve"> αλλά όχι στο αποτέλεσμα </w:t>
      </w:r>
      <w:r>
        <w:rPr>
          <w:color w:val="595959"/>
        </w:rPr>
        <w:t>της ενισχυμένης εποπτείας</w:t>
      </w:r>
      <w:r w:rsidRPr="00665C91">
        <w:rPr>
          <w:color w:val="595959"/>
        </w:rPr>
        <w:t xml:space="preserve">. Αν τέλος, πρόκειται για έσοδα από εκμετάλλευση δημόσιων περιουσιακών στοιχείων με διατήρηση της ιδιοκτησίας από το κράτος, δηλαδή παραχωρήσεις, τότε καταγράφονται και στο αποτέλεσμα κατά ESA και στο αποτέλεσμα </w:t>
      </w:r>
      <w:r>
        <w:rPr>
          <w:color w:val="595959"/>
        </w:rPr>
        <w:t>της ενισχυμένης εποπτείας</w:t>
      </w:r>
      <w:r w:rsidRPr="00665C91">
        <w:rPr>
          <w:color w:val="595959"/>
        </w:rPr>
        <w:t xml:space="preserve">. Ωστόσο, το αντίτιμο της παραχώρησης δεν καταγράφεται εξολοκλήρου στο έτος είσπραξης, αλλά κατανέμεται στα έτη διάρκειας της παραχώρησης με όρους παρούσας αξίας, δηλαδή τα ποσά στα πρώτα έτη είναι σχετικά χαμηλά και αυξάνονται στα επόμενα.  </w:t>
      </w:r>
    </w:p>
  </w:footnote>
  <w:footnote w:id="3">
    <w:p w14:paraId="6F3F993C" w14:textId="77777777" w:rsidR="00735FB9" w:rsidRPr="00032FA8" w:rsidRDefault="00735FB9" w:rsidP="008D16D4">
      <w:pPr>
        <w:pStyle w:val="FootnoteText"/>
        <w:spacing w:line="276" w:lineRule="auto"/>
        <w:ind w:left="284" w:hanging="137"/>
        <w:rPr>
          <w:color w:val="595959" w:themeColor="text1" w:themeTint="A6"/>
        </w:rPr>
      </w:pPr>
      <w:r w:rsidRPr="00032FA8">
        <w:rPr>
          <w:rStyle w:val="FootnoteReference"/>
          <w:color w:val="595959" w:themeColor="text1" w:themeTint="A6"/>
        </w:rPr>
        <w:footnoteRef/>
      </w:r>
      <w:r>
        <w:rPr>
          <w:color w:val="595959" w:themeColor="text1" w:themeTint="A6"/>
        </w:rPr>
        <w:t xml:space="preserve"> </w:t>
      </w:r>
      <w:r w:rsidRPr="00032FA8">
        <w:rPr>
          <w:color w:val="595959" w:themeColor="text1" w:themeTint="A6"/>
        </w:rPr>
        <w:t xml:space="preserve">Το «Συνολικό Ληξιπρόθεσμο Υπόλοιπο» περιλαμβάνει τις συσσωρευμένες οφειλές στο τέλος κάθε μήνα αναφοράς, αθροίζοντας το «παλιό» ληξιπρόθεσμο χρέος, όπως διαμορφώθηκε στις 30/11 του προηγούμενου έτους, με το «νέο» ληξιπρόθεσμο χρέος, όπως διαμορφώθηκε μέχρι τον μήνα αναφοράς και αφαιρώντας εισπράξεις και διαγραφές έναντι «παλιού» και «νέου» ληξιπρόθεσμου χρέους μέχρι τον μήνα αναφοράς. </w:t>
      </w:r>
    </w:p>
  </w:footnote>
  <w:footnote w:id="4">
    <w:p w14:paraId="75E67806" w14:textId="77777777" w:rsidR="00735FB9" w:rsidRDefault="00735FB9" w:rsidP="008D16D4">
      <w:pPr>
        <w:pStyle w:val="FootnoteText"/>
        <w:spacing w:line="276" w:lineRule="auto"/>
      </w:pPr>
      <w:r>
        <w:rPr>
          <w:rStyle w:val="FootnoteReference"/>
        </w:rPr>
        <w:footnoteRef/>
      </w:r>
      <w:r>
        <w:t xml:space="preserve"> </w:t>
      </w:r>
      <w:r w:rsidRPr="00B95534">
        <w:rPr>
          <w:color w:val="595959"/>
        </w:rPr>
        <w:t>Η αύξηση των νέων ληξιπρ</w:t>
      </w:r>
      <w:r>
        <w:rPr>
          <w:color w:val="595959"/>
        </w:rPr>
        <w:t>όθεσμων οφειλών</w:t>
      </w:r>
      <w:r w:rsidRPr="00B95534">
        <w:rPr>
          <w:color w:val="595959"/>
        </w:rPr>
        <w:t xml:space="preserve"> και των διαγραφών εντός του Ιανουαρίου του 2022 οφείλεται εν μέρει στην </w:t>
      </w:r>
      <w:r>
        <w:rPr>
          <w:color w:val="595959"/>
        </w:rPr>
        <w:t>παρουσία</w:t>
      </w:r>
      <w:r w:rsidRPr="00B95534">
        <w:rPr>
          <w:color w:val="595959"/>
        </w:rPr>
        <w:t xml:space="preserve"> ακραίων τιμών.</w:t>
      </w:r>
    </w:p>
  </w:footnote>
  <w:footnote w:id="5">
    <w:p w14:paraId="2597674E" w14:textId="77777777" w:rsidR="00735FB9" w:rsidRPr="00A34C0D" w:rsidRDefault="00735FB9" w:rsidP="008D16D4">
      <w:pPr>
        <w:pStyle w:val="FootnoteText"/>
        <w:spacing w:line="276" w:lineRule="auto"/>
        <w:ind w:left="142"/>
      </w:pPr>
      <w:r>
        <w:rPr>
          <w:rStyle w:val="FootnoteReference"/>
        </w:rPr>
        <w:footnoteRef/>
      </w:r>
      <w:r>
        <w:t xml:space="preserve"> </w:t>
      </w:r>
      <w:r w:rsidRPr="009C247E">
        <w:rPr>
          <w:color w:val="595959"/>
        </w:rPr>
        <w:t>Πρόκειται για οφειλές των οποίων η είσπραξη είναι αντικειμενικά αδύνατη, βάσει των προϋποθέσεων που ορίζονται στο</w:t>
      </w:r>
      <w:r>
        <w:rPr>
          <w:color w:val="595959"/>
        </w:rPr>
        <w:t xml:space="preserve"> </w:t>
      </w:r>
      <w:r w:rsidRPr="009C247E">
        <w:rPr>
          <w:color w:val="595959"/>
        </w:rPr>
        <w:t>άρθρο 82 του Κώδικα Είσπραξης Δημοσίων Εσόδων (ΝΔ 356/1974)</w:t>
      </w:r>
      <w:r>
        <w:rPr>
          <w:color w:val="595959"/>
        </w:rPr>
        <w:t xml:space="preserve">. </w:t>
      </w:r>
      <w:r w:rsidRPr="000472B4">
        <w:rPr>
          <w:color w:val="595959"/>
        </w:rPr>
        <w:t>Αφορά για παράδειγμα περιπτώσεις στις οποίες ο οφειλέτης</w:t>
      </w:r>
      <w:r w:rsidRPr="00F03067">
        <w:rPr>
          <w:color w:val="595959"/>
        </w:rPr>
        <w:t xml:space="preserve"> και οι συνυπό</w:t>
      </w:r>
      <w:r w:rsidRPr="000472B4">
        <w:rPr>
          <w:color w:val="595959"/>
        </w:rPr>
        <w:t>χρεοί του δε διαθέτουν περιουσιακά στοιχεία και ολοκληρώθηκε η διαδικασία αναγκαστικής εκτέλεσης επί κινητών, ακινήτων και απαιτήσεων του οφειλέτη (και έπαυσαν οι εργασίες πτώχευσης αν πρόκειται για πτωχό).</w:t>
      </w:r>
      <w:r>
        <w:rPr>
          <w:color w:val="595959"/>
        </w:rPr>
        <w:t xml:space="preserve"> </w:t>
      </w:r>
    </w:p>
  </w:footnote>
  <w:footnote w:id="6">
    <w:p w14:paraId="3C62EF2E" w14:textId="77777777" w:rsidR="00735FB9" w:rsidRPr="00325012" w:rsidRDefault="00735FB9" w:rsidP="008D16D4">
      <w:pPr>
        <w:pStyle w:val="FootnoteText"/>
        <w:spacing w:line="276" w:lineRule="auto"/>
        <w:rPr>
          <w:rFonts w:asciiTheme="majorHAnsi" w:hAnsiTheme="majorHAnsi" w:cstheme="majorHAnsi"/>
          <w:color w:val="595959"/>
        </w:rPr>
      </w:pPr>
      <w:r w:rsidRPr="00646D03">
        <w:rPr>
          <w:rStyle w:val="FootnoteReference"/>
        </w:rPr>
        <w:footnoteRef/>
      </w:r>
      <w:r w:rsidRPr="00646D03">
        <w:t xml:space="preserve"> </w:t>
      </w:r>
      <w:r w:rsidRPr="00325012">
        <w:rPr>
          <w:rFonts w:asciiTheme="majorHAnsi" w:hAnsiTheme="majorHAnsi" w:cstheme="majorHAnsi"/>
          <w:color w:val="595959"/>
        </w:rPr>
        <w:t>Σημαντικό μερίδιο των οφειλών αυτής της κατηγορίας αφορά στην εταιρεία Ακρόπολις Χρηματιστηριακή (5,5 δις ευρώ), όπως διαπιστώνεται και από τη </w:t>
      </w:r>
      <w:hyperlink r:id="rId1" w:tgtFrame="_blank" w:history="1">
        <w:r w:rsidRPr="00325012">
          <w:rPr>
            <w:rFonts w:asciiTheme="majorHAnsi" w:hAnsiTheme="majorHAnsi" w:cstheme="majorHAnsi"/>
            <w:color w:val="595959"/>
            <w:u w:val="single"/>
          </w:rPr>
          <w:t>δημοσιοποίηση ληξιπρόθεσμων οφειλών νομικών προσώπων και οντοτήτων προς το Δημόσιο και τον e-ΕΦΚΑ</w:t>
        </w:r>
      </w:hyperlink>
      <w:r w:rsidRPr="00325012">
        <w:rPr>
          <w:rFonts w:asciiTheme="majorHAnsi" w:hAnsiTheme="majorHAnsi" w:cstheme="majorHAnsi"/>
          <w:color w:val="595959"/>
        </w:rPr>
        <w:t>​ κατά την 28.06.2019.</w:t>
      </w:r>
    </w:p>
  </w:footnote>
  <w:footnote w:id="7">
    <w:p w14:paraId="3A7E9B5E" w14:textId="77777777" w:rsidR="00735FB9" w:rsidRPr="00646D03" w:rsidRDefault="00735FB9" w:rsidP="008D16D4">
      <w:pPr>
        <w:pStyle w:val="FootnoteText"/>
        <w:spacing w:line="276" w:lineRule="auto"/>
        <w:rPr>
          <w:rFonts w:asciiTheme="majorHAnsi" w:hAnsiTheme="majorHAnsi" w:cstheme="majorHAnsi"/>
          <w:color w:val="595959"/>
        </w:rPr>
      </w:pPr>
      <w:r w:rsidRPr="00646D03">
        <w:rPr>
          <w:rStyle w:val="FootnoteReference"/>
        </w:rPr>
        <w:footnoteRef/>
      </w:r>
      <w:r w:rsidRPr="00646D03">
        <w:t xml:space="preserve"> </w:t>
      </w:r>
      <w:r w:rsidRPr="00B739BA">
        <w:rPr>
          <w:rFonts w:asciiTheme="majorHAnsi" w:hAnsiTheme="majorHAnsi" w:cstheme="majorHAnsi"/>
          <w:color w:val="595959"/>
        </w:rPr>
        <w:t>Απόφαση της Ευρωπαϊκής Επιτροπής C (2017) 3987 final/16.6.2017 και παρ.3 του άρθρου 17 του ν.4337/2015 (Α΄129). Αναλυτικά στοιχεία αναφέρονται και στην </w:t>
      </w:r>
      <w:hyperlink r:id="rId2" w:tgtFrame="_blank" w:tooltip="file:///C:/Users/user/Downloads/02_OSE-NOTES-2020-2%20(2).pdf&#10;Ctrl+Kλικ ή πάτημα για μετάβαση στη σύνδεση" w:history="1">
        <w:r w:rsidRPr="00B739BA">
          <w:rPr>
            <w:rFonts w:asciiTheme="majorHAnsi" w:hAnsiTheme="majorHAnsi" w:cstheme="majorHAnsi"/>
            <w:color w:val="595959"/>
            <w:u w:val="single"/>
          </w:rPr>
          <w:t>ετήσια οικονομική έκθεση του ΟΣΕ για τη χρήση 2020</w:t>
        </w:r>
      </w:hyperlink>
      <w:r w:rsidRPr="00B739BA">
        <w:rPr>
          <w:rFonts w:asciiTheme="majorHAnsi" w:hAnsiTheme="majorHAnsi" w:cstheme="majorHAnsi"/>
          <w:color w:val="595959"/>
        </w:rPr>
        <w:t>.</w:t>
      </w:r>
    </w:p>
  </w:footnote>
  <w:footnote w:id="8">
    <w:p w14:paraId="261B2EF4" w14:textId="77777777" w:rsidR="00735FB9" w:rsidRPr="00E51292" w:rsidRDefault="00735FB9" w:rsidP="008D16D4">
      <w:pPr>
        <w:pStyle w:val="FootnoteText"/>
        <w:spacing w:line="276" w:lineRule="auto"/>
        <w:ind w:left="142"/>
        <w:rPr>
          <w:rFonts w:asciiTheme="majorHAnsi" w:hAnsiTheme="majorHAnsi" w:cstheme="majorHAnsi"/>
          <w:color w:val="595959"/>
        </w:rPr>
      </w:pPr>
      <w:r>
        <w:rPr>
          <w:rStyle w:val="FootnoteReference"/>
        </w:rPr>
        <w:footnoteRef/>
      </w:r>
      <w:r>
        <w:t xml:space="preserve"> </w:t>
      </w:r>
      <w:r w:rsidRPr="00333F32">
        <w:t xml:space="preserve"> </w:t>
      </w:r>
      <w:r w:rsidRPr="00E51292">
        <w:rPr>
          <w:rFonts w:asciiTheme="majorHAnsi" w:hAnsiTheme="majorHAnsi" w:cstheme="majorHAnsi"/>
          <w:color w:val="595959"/>
        </w:rPr>
        <w:t>Βάσει της υπ’ αριθ. Α.1117/24.5.2021 (Β’ 2271) Απόφασης του Διοικητή της ΑΑΔΕ.</w:t>
      </w:r>
    </w:p>
  </w:footnote>
  <w:footnote w:id="9">
    <w:p w14:paraId="7BE51D41" w14:textId="77777777" w:rsidR="00735FB9" w:rsidRPr="00E51292" w:rsidRDefault="00735FB9" w:rsidP="008D16D4">
      <w:pPr>
        <w:pStyle w:val="FootnoteText"/>
        <w:spacing w:line="276" w:lineRule="auto"/>
        <w:ind w:left="142" w:hanging="142"/>
        <w:rPr>
          <w:rFonts w:asciiTheme="majorHAnsi" w:hAnsiTheme="majorHAnsi" w:cstheme="majorHAnsi"/>
          <w:color w:val="595959"/>
        </w:rPr>
      </w:pPr>
      <w:r w:rsidRPr="0062571E">
        <w:rPr>
          <w:rStyle w:val="FootnoteReference"/>
          <w:color w:val="595959" w:themeColor="text1" w:themeTint="A6"/>
        </w:rPr>
        <w:footnoteRef/>
      </w:r>
      <w:r w:rsidRPr="0062571E">
        <w:rPr>
          <w:color w:val="595959" w:themeColor="text1" w:themeTint="A6"/>
        </w:rPr>
        <w:t xml:space="preserve"> </w:t>
      </w:r>
      <w:r w:rsidRPr="0062571E">
        <w:rPr>
          <w:color w:val="595959" w:themeColor="text1" w:themeTint="A6"/>
        </w:rPr>
        <w:tab/>
      </w:r>
      <w:r w:rsidRPr="00E51292">
        <w:rPr>
          <w:rFonts w:asciiTheme="majorHAnsi" w:hAnsiTheme="majorHAnsi" w:cstheme="majorHAnsi"/>
          <w:color w:val="595959"/>
        </w:rPr>
        <w:t xml:space="preserve">Οι συνολικές οφειλές περιλαμβάνουν τις κύριες οφειλές ύψους 26,8 δις ευρώ και τα πρόσθετα τέλη ύψους 14,2 δις ευρώ. </w:t>
      </w:r>
    </w:p>
  </w:footnote>
  <w:footnote w:id="10">
    <w:p w14:paraId="1FA045EB" w14:textId="77777777" w:rsidR="00735FB9" w:rsidRPr="00E65DB8" w:rsidRDefault="00735FB9" w:rsidP="008D16D4">
      <w:pPr>
        <w:pStyle w:val="FootnoteText"/>
        <w:spacing w:line="276" w:lineRule="auto"/>
        <w:rPr>
          <w:rFonts w:asciiTheme="majorHAnsi" w:hAnsiTheme="majorHAnsi" w:cstheme="majorHAnsi"/>
          <w:color w:val="595959"/>
        </w:rPr>
      </w:pPr>
      <w:r w:rsidRPr="0062571E">
        <w:rPr>
          <w:rStyle w:val="FootnoteReference"/>
        </w:rPr>
        <w:footnoteRef/>
      </w:r>
      <w:r w:rsidRPr="0062571E">
        <w:t xml:space="preserve"> </w:t>
      </w:r>
      <w:r w:rsidRPr="0062571E">
        <w:tab/>
      </w:r>
      <w:r w:rsidRPr="00E65DB8">
        <w:rPr>
          <w:rFonts w:asciiTheme="majorHAnsi" w:hAnsiTheme="majorHAnsi" w:cstheme="majorHAnsi"/>
          <w:color w:val="595959"/>
        </w:rPr>
        <w:t xml:space="preserve">Τα μητρώα οφειλετών δεν αντιστοιχούν σε διακριτούς οφειλέτες καθώς κάποιοι οφειλέτες έχουν περισσότερα από ένα μητρώα, γεγονός που οφείλεται στην ένταξη οφειλών που δημιούργησαν στον e-ΕΦΚΑ από το 2017 και μετά ήδη υφιστάμενοι οφειλέτες των τέως Ταμείων (ΟΑΕΕ, ΕΤΑΑ κ.λπ.) και οι οποίες ξεκίνησαν να καταχωρούνται κατά το 2019 σε νέα μητρώα. </w:t>
      </w:r>
    </w:p>
  </w:footnote>
  <w:footnote w:id="11">
    <w:p w14:paraId="62A71339" w14:textId="77777777" w:rsidR="00735FB9" w:rsidRDefault="00735FB9" w:rsidP="008D16D4">
      <w:pPr>
        <w:pStyle w:val="FootnoteText"/>
        <w:spacing w:line="276" w:lineRule="auto"/>
      </w:pPr>
      <w:r>
        <w:rPr>
          <w:rStyle w:val="FootnoteReference"/>
        </w:rPr>
        <w:footnoteRef/>
      </w:r>
      <w:r>
        <w:t xml:space="preserve">   </w:t>
      </w:r>
      <w:r w:rsidRPr="00C32887">
        <w:rPr>
          <w:color w:val="595959"/>
        </w:rPr>
        <w:t>Δεν περιλαμβάνονται εκείνες που αφορούν συνταξιοδότηση με διεθνείς κανόνες.</w:t>
      </w:r>
    </w:p>
  </w:footnote>
  <w:footnote w:id="12">
    <w:p w14:paraId="3E995D28" w14:textId="77777777" w:rsidR="00735FB9" w:rsidRPr="00BE6CA9" w:rsidRDefault="00735FB9" w:rsidP="008D16D4">
      <w:pPr>
        <w:pStyle w:val="FootnoteText"/>
        <w:spacing w:line="276" w:lineRule="auto"/>
        <w:rPr>
          <w:color w:val="595959" w:themeColor="text1" w:themeTint="A6"/>
        </w:rPr>
      </w:pPr>
      <w:r>
        <w:rPr>
          <w:rStyle w:val="FootnoteReference"/>
        </w:rPr>
        <w:footnoteRef/>
      </w:r>
      <w:r>
        <w:t xml:space="preserve"> </w:t>
      </w:r>
      <w:r>
        <w:tab/>
      </w:r>
      <w:r w:rsidRPr="00C32887">
        <w:rPr>
          <w:color w:val="595959"/>
        </w:rPr>
        <w:t xml:space="preserve">Η δαπάνη αυτή αφορά το οφειλόμενο καθαρό ποσό στους δικαιούχους, δηλαδή το ποσό που προκύπτει αν από το μικτό ποσό αφαιρεθεί η </w:t>
      </w:r>
      <w:r w:rsidRPr="00BE6CA9">
        <w:rPr>
          <w:color w:val="595959" w:themeColor="text1" w:themeTint="A6"/>
        </w:rPr>
        <w:t>κράτηση υπέρ ΕΟΠΥΥ (6%) και του φόρου εισοδήματος.</w:t>
      </w:r>
    </w:p>
  </w:footnote>
  <w:footnote w:id="13">
    <w:p w14:paraId="1C978D24" w14:textId="77777777" w:rsidR="00735FB9" w:rsidRDefault="00735FB9" w:rsidP="008D16D4">
      <w:pPr>
        <w:pStyle w:val="FootnoteText"/>
        <w:spacing w:line="276" w:lineRule="auto"/>
      </w:pPr>
      <w:r w:rsidRPr="00BE6CA9">
        <w:rPr>
          <w:rStyle w:val="FootnoteReference"/>
          <w:color w:val="595959" w:themeColor="text1" w:themeTint="A6"/>
        </w:rPr>
        <w:footnoteRef/>
      </w:r>
      <w:r w:rsidRPr="00BE6CA9">
        <w:rPr>
          <w:color w:val="595959" w:themeColor="text1" w:themeTint="A6"/>
        </w:rPr>
        <w:t xml:space="preserve"> Επισημαίνεται ότι πιθανές διαφορές </w:t>
      </w:r>
      <w:r>
        <w:rPr>
          <w:color w:val="595959" w:themeColor="text1" w:themeTint="A6"/>
        </w:rPr>
        <w:t xml:space="preserve">με τα στοιχεία που αναφέρονταν σε προηγούμενες εκθέσεις μας οφείλονται σε αναθεώρηση των σχετικών στοιχείων από τις αρμόδιες υπηρεσίες του </w:t>
      </w:r>
      <w:r>
        <w:rPr>
          <w:color w:val="595959" w:themeColor="text1" w:themeTint="A6"/>
          <w:lang w:val="en-US"/>
        </w:rPr>
        <w:t>e</w:t>
      </w:r>
      <w:r w:rsidRPr="005116A3">
        <w:rPr>
          <w:color w:val="595959" w:themeColor="text1" w:themeTint="A6"/>
        </w:rPr>
        <w:t>-</w:t>
      </w:r>
      <w:r>
        <w:rPr>
          <w:color w:val="595959" w:themeColor="text1" w:themeTint="A6"/>
        </w:rPr>
        <w:t>ΕΦΚΑ, η οποία κρίνεται αναγκαία λόγω της δυνατότητας που έχουν οι ασφαλισμένοι να οριστικοποιήσουν την αίτηση συνταξιοδότησής τους με ύστερη προσκόμιση δικαιολογητικών χωρίς αυτό να επηρεάζει την ημερομηνία αρχικής υποβολής της αίτησής τους.</w:t>
      </w:r>
    </w:p>
  </w:footnote>
  <w:footnote w:id="14">
    <w:p w14:paraId="7D0E6E19" w14:textId="77777777" w:rsidR="00735FB9" w:rsidRDefault="00735FB9" w:rsidP="008D16D4">
      <w:pPr>
        <w:pStyle w:val="FootnoteText"/>
        <w:spacing w:line="276" w:lineRule="auto"/>
      </w:pPr>
      <w:r w:rsidRPr="004E2D59">
        <w:rPr>
          <w:rStyle w:val="FootnoteReference"/>
          <w:color w:val="595959" w:themeColor="text1" w:themeTint="A6"/>
        </w:rPr>
        <w:footnoteRef/>
      </w:r>
      <w:r w:rsidRPr="004E2D59">
        <w:rPr>
          <w:color w:val="595959" w:themeColor="text1" w:themeTint="A6"/>
        </w:rPr>
        <w:t xml:space="preserve"> Βάσει της ημερομηνίας αίτησης συνταξιοδότησης.</w:t>
      </w:r>
    </w:p>
  </w:footnote>
  <w:footnote w:id="15">
    <w:p w14:paraId="2DA2B4FC" w14:textId="77777777" w:rsidR="00735FB9" w:rsidRPr="00BE3C03" w:rsidRDefault="00735FB9" w:rsidP="008D16D4">
      <w:pPr>
        <w:pStyle w:val="FootnoteText"/>
        <w:spacing w:line="276" w:lineRule="auto"/>
        <w:rPr>
          <w:color w:val="595959" w:themeColor="text1" w:themeTint="A6"/>
        </w:rPr>
      </w:pPr>
      <w:r w:rsidRPr="004E2D59">
        <w:rPr>
          <w:rStyle w:val="FootnoteReference"/>
          <w:color w:val="595959" w:themeColor="text1" w:themeTint="A6"/>
        </w:rPr>
        <w:footnoteRef/>
      </w:r>
      <w:r w:rsidRPr="001557C7">
        <w:rPr>
          <w:color w:val="595959" w:themeColor="text1" w:themeTint="A6"/>
        </w:rPr>
        <w:t xml:space="preserve"> Ό</w:t>
      </w:r>
      <w:r w:rsidRPr="0016097C">
        <w:rPr>
          <w:color w:val="595959" w:themeColor="text1" w:themeTint="A6"/>
        </w:rPr>
        <w:t>πως προκύπτει από τα στοιχεία που έθεσε στη διάθεσή μας ο ΟΠΕΚΑ</w:t>
      </w:r>
      <w:r>
        <w:rPr>
          <w:color w:val="595959" w:themeColor="text1" w:themeTint="A6"/>
        </w:rPr>
        <w:t>.</w:t>
      </w:r>
    </w:p>
  </w:footnote>
  <w:footnote w:id="16">
    <w:p w14:paraId="560603C8" w14:textId="77777777" w:rsidR="00735FB9" w:rsidRDefault="00735FB9" w:rsidP="008D16D4">
      <w:pPr>
        <w:pStyle w:val="FootnoteText"/>
        <w:spacing w:line="276" w:lineRule="auto"/>
        <w:ind w:left="90" w:hanging="90"/>
      </w:pPr>
      <w:r w:rsidRPr="007E30EB">
        <w:rPr>
          <w:rStyle w:val="FootnoteReference"/>
        </w:rPr>
        <w:footnoteRef/>
      </w:r>
      <w:r w:rsidRPr="007E30EB">
        <w:rPr>
          <w:rStyle w:val="FootnoteReference"/>
        </w:rPr>
        <w:t xml:space="preserve"> </w:t>
      </w:r>
      <w:r w:rsidRPr="007E30EB">
        <w:rPr>
          <w:color w:val="595959" w:themeColor="text1" w:themeTint="A6"/>
        </w:rPr>
        <w:t xml:space="preserve">Βάσει των </w:t>
      </w:r>
      <w:r>
        <w:rPr>
          <w:color w:val="595959" w:themeColor="text1" w:themeTint="A6"/>
        </w:rPr>
        <w:t xml:space="preserve">διατάξεων </w:t>
      </w:r>
      <w:r w:rsidRPr="007E30EB">
        <w:rPr>
          <w:color w:val="595959" w:themeColor="text1" w:themeTint="A6"/>
        </w:rPr>
        <w:t>της με αριθ. 39100 ΚΥΑ (ΦΕΚ 1167 Β, 8-4-2019)</w:t>
      </w:r>
      <w:r>
        <w:t xml:space="preserve">. </w:t>
      </w:r>
    </w:p>
  </w:footnote>
  <w:footnote w:id="17">
    <w:p w14:paraId="3FCC0080" w14:textId="77777777" w:rsidR="00735FB9" w:rsidRDefault="00735FB9" w:rsidP="008D16D4">
      <w:pPr>
        <w:pStyle w:val="FootnoteText"/>
        <w:spacing w:line="276" w:lineRule="auto"/>
      </w:pPr>
      <w:r>
        <w:rPr>
          <w:rStyle w:val="FootnoteReference"/>
        </w:rPr>
        <w:footnoteRef/>
      </w:r>
      <w:r>
        <w:t xml:space="preserve"> </w:t>
      </w:r>
      <w:r w:rsidRPr="007E30EB">
        <w:rPr>
          <w:color w:val="595959" w:themeColor="text1" w:themeTint="A6"/>
        </w:rPr>
        <w:t xml:space="preserve">Βάσει των </w:t>
      </w:r>
      <w:r>
        <w:rPr>
          <w:color w:val="595959" w:themeColor="text1" w:themeTint="A6"/>
        </w:rPr>
        <w:t>διατάξεων του Κεφ. Γ του ν. 4714/2020 (ΦΕΚ 148</w:t>
      </w:r>
      <w:r w:rsidRPr="007E30EB">
        <w:rPr>
          <w:color w:val="595959" w:themeColor="text1" w:themeTint="A6"/>
        </w:rPr>
        <w:t xml:space="preserve"> </w:t>
      </w:r>
      <w:r>
        <w:rPr>
          <w:color w:val="595959" w:themeColor="text1" w:themeTint="A6"/>
        </w:rPr>
        <w:t>Α, 31</w:t>
      </w:r>
      <w:r w:rsidRPr="007E30EB">
        <w:rPr>
          <w:color w:val="595959" w:themeColor="text1" w:themeTint="A6"/>
        </w:rPr>
        <w:t>-</w:t>
      </w:r>
      <w:r>
        <w:rPr>
          <w:color w:val="595959" w:themeColor="text1" w:themeTint="A6"/>
        </w:rPr>
        <w:t>7</w:t>
      </w:r>
      <w:r w:rsidRPr="007E30EB">
        <w:rPr>
          <w:color w:val="595959" w:themeColor="text1" w:themeTint="A6"/>
        </w:rPr>
        <w:t>-20</w:t>
      </w:r>
      <w:r>
        <w:rPr>
          <w:color w:val="595959" w:themeColor="text1" w:themeTint="A6"/>
        </w:rPr>
        <w:t>20</w:t>
      </w:r>
      <w:r w:rsidRPr="007E30EB">
        <w:rPr>
          <w:color w:val="595959" w:themeColor="text1" w:themeTint="A6"/>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color w:val="2F5496" w:themeColor="accent1" w:themeShade="BF"/>
        <w:sz w:val="24"/>
        <w:szCs w:val="24"/>
      </w:rPr>
      <w:alias w:val="Τίτλος"/>
      <w:id w:val="-1299844047"/>
      <w:dataBinding w:prefixMappings="xmlns:ns0='http://schemas.openxmlformats.org/package/2006/metadata/core-properties' xmlns:ns1='http://purl.org/dc/elements/1.1/'" w:xpath="/ns0:coreProperties[1]/ns1:title[1]" w:storeItemID="{6C3C8BC8-F283-45AE-878A-BAB7291924A1}"/>
      <w:text/>
    </w:sdtPr>
    <w:sdtEndPr/>
    <w:sdtContent>
      <w:p w14:paraId="00C63185" w14:textId="77777777" w:rsidR="00735FB9" w:rsidRPr="008E0238" w:rsidRDefault="00735FB9">
        <w:pPr>
          <w:pStyle w:val="Header"/>
          <w:rPr>
            <w:rFonts w:eastAsiaTheme="majorEastAsia" w:cstheme="majorBidi"/>
            <w:color w:val="2F5496" w:themeColor="accent1" w:themeShade="BF"/>
            <w:sz w:val="24"/>
            <w:szCs w:val="24"/>
          </w:rPr>
        </w:pPr>
        <w:r>
          <w:rPr>
            <w:rFonts w:eastAsiaTheme="majorEastAsia" w:cstheme="majorBidi"/>
            <w:color w:val="2F5496" w:themeColor="accent1" w:themeShade="BF"/>
            <w:sz w:val="24"/>
            <w:szCs w:val="24"/>
          </w:rPr>
          <w:t>Έκθεση Δ τριμήνου 2021</w:t>
        </w:r>
      </w:p>
    </w:sdtContent>
  </w:sdt>
  <w:p w14:paraId="4E666A85" w14:textId="07C9D5BD" w:rsidR="00735FB9" w:rsidRDefault="0034064E">
    <w:pPr>
      <w:pStyle w:val="Header"/>
    </w:pPr>
    <w:r>
      <w:rPr>
        <w:rFonts w:asciiTheme="majorHAnsi" w:eastAsiaTheme="majorEastAsia" w:hAnsiTheme="majorHAnsi" w:cstheme="majorBidi"/>
        <w:noProof/>
        <w:lang w:val="en-US"/>
      </w:rPr>
      <mc:AlternateContent>
        <mc:Choice Requires="wpg">
          <w:drawing>
            <wp:anchor distT="0" distB="0" distL="114300" distR="114300" simplePos="0" relativeHeight="251661312" behindDoc="0" locked="0" layoutInCell="1" allowOverlap="1" wp14:anchorId="08D718EC" wp14:editId="0A7D664A">
              <wp:simplePos x="0" y="0"/>
              <wp:positionH relativeFrom="page">
                <wp:align>center</wp:align>
              </wp:positionH>
              <wp:positionV relativeFrom="page">
                <wp:align>top</wp:align>
              </wp:positionV>
              <wp:extent cx="10047605" cy="914400"/>
              <wp:effectExtent l="0" t="0" r="2540" b="0"/>
              <wp:wrapNone/>
              <wp:docPr id="17" name="Ομάδα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1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3985CED" id="Ομάδα 194"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" strokecolor="#31849b"/>
              <v:rect id="Rectangle 18"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3120" behindDoc="0" locked="0" layoutInCell="1" allowOverlap="1" wp14:anchorId="3EE3D918" wp14:editId="3E32EAAE">
              <wp:simplePos x="0" y="0"/>
              <wp:positionH relativeFrom="rightMargin">
                <wp:align>center</wp:align>
              </wp:positionH>
              <wp:positionV relativeFrom="page">
                <wp:align>top</wp:align>
              </wp:positionV>
              <wp:extent cx="90805" cy="822960"/>
              <wp:effectExtent l="0" t="0" r="4445" b="0"/>
              <wp:wrapNone/>
              <wp:docPr id="19" name="Ορθογώνιο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B0C8DBB" id="Ορθογώνιο 200" o:spid="_x0000_s1026" style="position:absolute;margin-left:0;margin-top:0;width:7.15pt;height:64.8pt;z-index:25165312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FuujXMOAgAA&#10;GgQAAA4AAAAAAAAAAAAAAAAALgIAAGRycy9lMm9Eb2MueG1sUEsBAi0AFAAGAAgAAAAhANuwKwfc&#10;AAAABAEAAA8AAAAAAAAAAAAAAAAAaAQAAGRycy9kb3ducmV2LnhtbFBLBQYAAAAABAAEAPMAAABx&#10;BQAAAAA=&#10;" fillcolor="#5b9bd5 [3208]" strokecolor="#4472c4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49024" behindDoc="0" locked="0" layoutInCell="1" allowOverlap="1" wp14:anchorId="460C52DF" wp14:editId="79A8DABC">
              <wp:simplePos x="0" y="0"/>
              <wp:positionH relativeFrom="leftMargin">
                <wp:align>center</wp:align>
              </wp:positionH>
              <wp:positionV relativeFrom="page">
                <wp:align>top</wp:align>
              </wp:positionV>
              <wp:extent cx="90805" cy="822960"/>
              <wp:effectExtent l="0" t="0" r="4445" b="0"/>
              <wp:wrapNone/>
              <wp:docPr id="20" name="Ορθογώνιο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5079F0D" id="Ορθογώνιο 202" o:spid="_x0000_s1026" style="position:absolute;margin-left:0;margin-top:0;width:7.15pt;height:64.8pt;z-index:25164902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FuujXMOAgAA&#10;GgQAAA4AAAAAAAAAAAAAAAAALgIAAGRycy9lMm9Eb2MueG1sUEsBAi0AFAAGAAgAAAAhANuwKwfc&#10;AAAABAEAAA8AAAAAAAAAAAAAAAAAaAQAAGRycy9kb3ducmV2LnhtbFBLBQYAAAAABAAEAPMAAABx&#10;BQAAAAA=&#10;" fillcolor="#5b9bd5 [3208]" strokecolor="#4472c4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sz w:val="24"/>
        <w:szCs w:val="24"/>
        <w:lang w:val="en-US"/>
      </w:rPr>
      <w:alias w:val="Title"/>
      <w:id w:val="1584717495"/>
      <w:dataBinding w:prefixMappings="xmlns:ns0='http://schemas.openxmlformats.org/package/2006/metadata/core-properties' xmlns:ns1='http://purl.org/dc/elements/1.1/'" w:xpath="/ns0:coreProperties[1]/ns1:title[1]" w:storeItemID="{6C3C8BC8-F283-45AE-878A-BAB7291924A1}"/>
      <w:text/>
    </w:sdtPr>
    <w:sdtEndPr/>
    <w:sdtContent>
      <w:p w14:paraId="16D4E0F6" w14:textId="77777777" w:rsidR="00735FB9" w:rsidRPr="00687A3C" w:rsidRDefault="00735FB9" w:rsidP="00176B2A">
        <w:pPr>
          <w:pStyle w:val="Header"/>
          <w:pBdr>
            <w:between w:val="single" w:sz="4" w:space="1" w:color="4472C4" w:themeColor="accent1"/>
          </w:pBdr>
          <w:spacing w:line="276" w:lineRule="auto"/>
          <w:jc w:val="center"/>
          <w:rPr>
            <w:color w:val="2F5496" w:themeColor="accent1" w:themeShade="BF"/>
            <w:sz w:val="24"/>
            <w:szCs w:val="24"/>
            <w:lang w:val="en-US"/>
          </w:rPr>
        </w:pPr>
        <w:r>
          <w:rPr>
            <w:color w:val="2F5496" w:themeColor="accent1" w:themeShade="BF"/>
            <w:sz w:val="24"/>
            <w:szCs w:val="24"/>
            <w:lang w:val="en-US"/>
          </w:rPr>
          <w:t xml:space="preserve">Έκθεση </w:t>
        </w:r>
        <w:r>
          <w:rPr>
            <w:color w:val="2F5496" w:themeColor="accent1" w:themeShade="BF"/>
            <w:sz w:val="24"/>
            <w:szCs w:val="24"/>
          </w:rPr>
          <w:t>Δ</w:t>
        </w:r>
        <w:r>
          <w:rPr>
            <w:color w:val="2F5496" w:themeColor="accent1" w:themeShade="BF"/>
            <w:sz w:val="24"/>
            <w:szCs w:val="24"/>
            <w:lang w:val="en-US"/>
          </w:rPr>
          <w:t xml:space="preserve"> </w:t>
        </w:r>
        <w:r>
          <w:rPr>
            <w:color w:val="2F5496" w:themeColor="accent1" w:themeShade="BF"/>
            <w:sz w:val="24"/>
            <w:szCs w:val="24"/>
          </w:rPr>
          <w:t>τ</w:t>
        </w:r>
        <w:r>
          <w:rPr>
            <w:color w:val="2F5496" w:themeColor="accent1" w:themeShade="BF"/>
            <w:sz w:val="24"/>
            <w:szCs w:val="24"/>
            <w:lang w:val="en-US"/>
          </w:rPr>
          <w:t>ριμήνου 20</w:t>
        </w:r>
        <w:r>
          <w:rPr>
            <w:color w:val="2F5496" w:themeColor="accent1" w:themeShade="BF"/>
            <w:sz w:val="24"/>
            <w:szCs w:val="24"/>
          </w:rPr>
          <w:t>21</w:t>
        </w:r>
      </w:p>
    </w:sdtContent>
  </w:sdt>
  <w:p w14:paraId="7FC6EE38" w14:textId="77777777" w:rsidR="00735FB9" w:rsidRPr="00687A3C" w:rsidRDefault="00735FB9">
    <w:pPr>
      <w:pStyle w:val="Header"/>
      <w:pBdr>
        <w:between w:val="single" w:sz="4" w:space="1" w:color="4472C4" w:themeColor="accent1"/>
      </w:pBdr>
      <w:spacing w:line="276" w:lineRule="auto"/>
      <w:jc w:val="center"/>
      <w:rPr>
        <w:lang w:val="en-US"/>
      </w:rPr>
    </w:pPr>
  </w:p>
  <w:p w14:paraId="0DADC4AC" w14:textId="77777777" w:rsidR="00735FB9" w:rsidRPr="00687A3C" w:rsidRDefault="00735FB9">
    <w:pPr>
      <w:pStyle w:val="Header"/>
      <w:rPr>
        <w:color w:val="2F5496" w:themeColor="accent1" w:themeShade="B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CFB"/>
    <w:multiLevelType w:val="hybridMultilevel"/>
    <w:tmpl w:val="2A44CFF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F76145"/>
    <w:multiLevelType w:val="hybridMultilevel"/>
    <w:tmpl w:val="9F34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56BB2"/>
    <w:multiLevelType w:val="hybridMultilevel"/>
    <w:tmpl w:val="2F2286A8"/>
    <w:lvl w:ilvl="0" w:tplc="0408000B">
      <w:start w:val="1"/>
      <w:numFmt w:val="bullet"/>
      <w:lvlText w:val=""/>
      <w:lvlJc w:val="left"/>
      <w:pPr>
        <w:ind w:left="1440" w:hanging="360"/>
      </w:pPr>
      <w:rPr>
        <w:rFonts w:ascii="Wingdings" w:hAnsi="Wingdings" w:cs="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70B27A4"/>
    <w:multiLevelType w:val="hybridMultilevel"/>
    <w:tmpl w:val="B474606C"/>
    <w:lvl w:ilvl="0" w:tplc="04080001">
      <w:start w:val="1"/>
      <w:numFmt w:val="bullet"/>
      <w:lvlText w:val=""/>
      <w:lvlJc w:val="left"/>
      <w:pPr>
        <w:ind w:left="1440" w:hanging="360"/>
      </w:pPr>
      <w:rPr>
        <w:rFonts w:ascii="Symbol" w:hAnsi="Symbol"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ABE320E"/>
    <w:multiLevelType w:val="hybridMultilevel"/>
    <w:tmpl w:val="A7167E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3F12"/>
    <w:multiLevelType w:val="hybridMultilevel"/>
    <w:tmpl w:val="B67E910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562F29"/>
    <w:multiLevelType w:val="hybridMultilevel"/>
    <w:tmpl w:val="CB8A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E7BAE"/>
    <w:multiLevelType w:val="hybridMultilevel"/>
    <w:tmpl w:val="CD024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892111"/>
    <w:multiLevelType w:val="hybridMultilevel"/>
    <w:tmpl w:val="64103A9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CF2CA0"/>
    <w:multiLevelType w:val="hybridMultilevel"/>
    <w:tmpl w:val="78C0F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6D42DE"/>
    <w:multiLevelType w:val="hybridMultilevel"/>
    <w:tmpl w:val="19844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55A0C59"/>
    <w:multiLevelType w:val="hybridMultilevel"/>
    <w:tmpl w:val="58B0C3AE"/>
    <w:lvl w:ilvl="0" w:tplc="73982ADA">
      <w:start w:val="137"/>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FB30267"/>
    <w:multiLevelType w:val="hybridMultilevel"/>
    <w:tmpl w:val="03D2CC7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60E452C"/>
    <w:multiLevelType w:val="hybridMultilevel"/>
    <w:tmpl w:val="C834F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EE12EB"/>
    <w:multiLevelType w:val="hybridMultilevel"/>
    <w:tmpl w:val="D996C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28744EE"/>
    <w:multiLevelType w:val="hybridMultilevel"/>
    <w:tmpl w:val="2F647E80"/>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9182578"/>
    <w:multiLevelType w:val="hybridMultilevel"/>
    <w:tmpl w:val="8DFA2FB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0EA3C8F"/>
    <w:multiLevelType w:val="hybridMultilevel"/>
    <w:tmpl w:val="E88CF576"/>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9CA3E50"/>
    <w:multiLevelType w:val="hybridMultilevel"/>
    <w:tmpl w:val="772656C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9" w15:restartNumberingAfterBreak="0">
    <w:nsid w:val="6C5007F4"/>
    <w:multiLevelType w:val="hybridMultilevel"/>
    <w:tmpl w:val="89B2D6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23C39BA"/>
    <w:multiLevelType w:val="hybridMultilevel"/>
    <w:tmpl w:val="82F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072B0"/>
    <w:multiLevelType w:val="hybridMultilevel"/>
    <w:tmpl w:val="53AA23C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3805746"/>
    <w:multiLevelType w:val="multilevel"/>
    <w:tmpl w:val="E4C4B6F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ED1705"/>
    <w:multiLevelType w:val="hybridMultilevel"/>
    <w:tmpl w:val="A8D6B6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C4238AC"/>
    <w:multiLevelType w:val="hybridMultilevel"/>
    <w:tmpl w:val="B478F67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18"/>
  </w:num>
  <w:num w:numId="3">
    <w:abstractNumId w:val="8"/>
  </w:num>
  <w:num w:numId="4">
    <w:abstractNumId w:val="9"/>
  </w:num>
  <w:num w:numId="5">
    <w:abstractNumId w:val="12"/>
  </w:num>
  <w:num w:numId="6">
    <w:abstractNumId w:val="4"/>
  </w:num>
  <w:num w:numId="7">
    <w:abstractNumId w:val="24"/>
  </w:num>
  <w:num w:numId="8">
    <w:abstractNumId w:val="22"/>
  </w:num>
  <w:num w:numId="9">
    <w:abstractNumId w:val="13"/>
  </w:num>
  <w:num w:numId="10">
    <w:abstractNumId w:val="15"/>
  </w:num>
  <w:num w:numId="11">
    <w:abstractNumId w:val="0"/>
  </w:num>
  <w:num w:numId="12">
    <w:abstractNumId w:val="20"/>
  </w:num>
  <w:num w:numId="13">
    <w:abstractNumId w:val="11"/>
  </w:num>
  <w:num w:numId="14">
    <w:abstractNumId w:val="5"/>
  </w:num>
  <w:num w:numId="15">
    <w:abstractNumId w:val="7"/>
  </w:num>
  <w:num w:numId="16">
    <w:abstractNumId w:val="19"/>
  </w:num>
  <w:num w:numId="17">
    <w:abstractNumId w:val="10"/>
  </w:num>
  <w:num w:numId="18">
    <w:abstractNumId w:val="3"/>
  </w:num>
  <w:num w:numId="19">
    <w:abstractNumId w:val="6"/>
  </w:num>
  <w:num w:numId="20">
    <w:abstractNumId w:val="23"/>
  </w:num>
  <w:num w:numId="21">
    <w:abstractNumId w:val="21"/>
  </w:num>
  <w:num w:numId="22">
    <w:abstractNumId w:val="16"/>
  </w:num>
  <w:num w:numId="23">
    <w:abstractNumId w:val="14"/>
  </w:num>
  <w:num w:numId="24">
    <w:abstractNumId w:val="17"/>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3C"/>
    <w:rsid w:val="00000181"/>
    <w:rsid w:val="000006A5"/>
    <w:rsid w:val="00000A81"/>
    <w:rsid w:val="00000F1A"/>
    <w:rsid w:val="0000125E"/>
    <w:rsid w:val="000013B9"/>
    <w:rsid w:val="000014A6"/>
    <w:rsid w:val="000014FD"/>
    <w:rsid w:val="00001587"/>
    <w:rsid w:val="000018F0"/>
    <w:rsid w:val="00001C24"/>
    <w:rsid w:val="00002202"/>
    <w:rsid w:val="0000257C"/>
    <w:rsid w:val="00002BB0"/>
    <w:rsid w:val="000032B0"/>
    <w:rsid w:val="000032E8"/>
    <w:rsid w:val="00003592"/>
    <w:rsid w:val="0000373F"/>
    <w:rsid w:val="00003CD4"/>
    <w:rsid w:val="00003E59"/>
    <w:rsid w:val="00003F86"/>
    <w:rsid w:val="000040A4"/>
    <w:rsid w:val="00004458"/>
    <w:rsid w:val="00004918"/>
    <w:rsid w:val="00004C1E"/>
    <w:rsid w:val="00004C5C"/>
    <w:rsid w:val="00004FDF"/>
    <w:rsid w:val="0000528D"/>
    <w:rsid w:val="00005875"/>
    <w:rsid w:val="00005A8A"/>
    <w:rsid w:val="00005D56"/>
    <w:rsid w:val="0000649B"/>
    <w:rsid w:val="000064D5"/>
    <w:rsid w:val="000064EC"/>
    <w:rsid w:val="00007A35"/>
    <w:rsid w:val="00007A62"/>
    <w:rsid w:val="00007D82"/>
    <w:rsid w:val="00010220"/>
    <w:rsid w:val="00010399"/>
    <w:rsid w:val="000105FB"/>
    <w:rsid w:val="000108A4"/>
    <w:rsid w:val="00010A7E"/>
    <w:rsid w:val="00010C84"/>
    <w:rsid w:val="00010CE5"/>
    <w:rsid w:val="0001115D"/>
    <w:rsid w:val="000112B1"/>
    <w:rsid w:val="0001141E"/>
    <w:rsid w:val="00011628"/>
    <w:rsid w:val="0001214B"/>
    <w:rsid w:val="0001224B"/>
    <w:rsid w:val="0001272A"/>
    <w:rsid w:val="00012867"/>
    <w:rsid w:val="00012DE1"/>
    <w:rsid w:val="00013055"/>
    <w:rsid w:val="0001308D"/>
    <w:rsid w:val="000134C0"/>
    <w:rsid w:val="00013658"/>
    <w:rsid w:val="00013A99"/>
    <w:rsid w:val="00013ADF"/>
    <w:rsid w:val="00013D12"/>
    <w:rsid w:val="00013D9B"/>
    <w:rsid w:val="00013DA6"/>
    <w:rsid w:val="00013DBE"/>
    <w:rsid w:val="00014251"/>
    <w:rsid w:val="000144F7"/>
    <w:rsid w:val="000148CB"/>
    <w:rsid w:val="00014A80"/>
    <w:rsid w:val="00014FD4"/>
    <w:rsid w:val="00015025"/>
    <w:rsid w:val="000150FF"/>
    <w:rsid w:val="00015B4C"/>
    <w:rsid w:val="00015FA3"/>
    <w:rsid w:val="00016077"/>
    <w:rsid w:val="000165CF"/>
    <w:rsid w:val="000168BE"/>
    <w:rsid w:val="000168FC"/>
    <w:rsid w:val="00016CEC"/>
    <w:rsid w:val="00016E1E"/>
    <w:rsid w:val="000173BE"/>
    <w:rsid w:val="00017DD1"/>
    <w:rsid w:val="00017E42"/>
    <w:rsid w:val="00020136"/>
    <w:rsid w:val="0002023E"/>
    <w:rsid w:val="000204D7"/>
    <w:rsid w:val="000207E6"/>
    <w:rsid w:val="00020A0E"/>
    <w:rsid w:val="00021141"/>
    <w:rsid w:val="00021227"/>
    <w:rsid w:val="00022045"/>
    <w:rsid w:val="000222F8"/>
    <w:rsid w:val="00022363"/>
    <w:rsid w:val="00022594"/>
    <w:rsid w:val="000227AC"/>
    <w:rsid w:val="00022C5B"/>
    <w:rsid w:val="00023080"/>
    <w:rsid w:val="00023A43"/>
    <w:rsid w:val="00023CBC"/>
    <w:rsid w:val="000242E0"/>
    <w:rsid w:val="00024B17"/>
    <w:rsid w:val="00024B66"/>
    <w:rsid w:val="00024C69"/>
    <w:rsid w:val="000256A9"/>
    <w:rsid w:val="00025B1C"/>
    <w:rsid w:val="00025C75"/>
    <w:rsid w:val="00025F26"/>
    <w:rsid w:val="000265D2"/>
    <w:rsid w:val="000266F1"/>
    <w:rsid w:val="00026771"/>
    <w:rsid w:val="00026A88"/>
    <w:rsid w:val="00026C37"/>
    <w:rsid w:val="00026DCC"/>
    <w:rsid w:val="00026F95"/>
    <w:rsid w:val="0002717A"/>
    <w:rsid w:val="0002744F"/>
    <w:rsid w:val="00031544"/>
    <w:rsid w:val="00031608"/>
    <w:rsid w:val="000319F3"/>
    <w:rsid w:val="00031C30"/>
    <w:rsid w:val="00031CBB"/>
    <w:rsid w:val="000324F3"/>
    <w:rsid w:val="00032E06"/>
    <w:rsid w:val="00032F00"/>
    <w:rsid w:val="00032FA8"/>
    <w:rsid w:val="00033191"/>
    <w:rsid w:val="00033385"/>
    <w:rsid w:val="00033640"/>
    <w:rsid w:val="000336DF"/>
    <w:rsid w:val="00033853"/>
    <w:rsid w:val="00033E77"/>
    <w:rsid w:val="00033EEE"/>
    <w:rsid w:val="0003449F"/>
    <w:rsid w:val="000347ED"/>
    <w:rsid w:val="00034FC3"/>
    <w:rsid w:val="0003522C"/>
    <w:rsid w:val="00035914"/>
    <w:rsid w:val="00035CDB"/>
    <w:rsid w:val="000364B6"/>
    <w:rsid w:val="000364D7"/>
    <w:rsid w:val="00036733"/>
    <w:rsid w:val="000368D0"/>
    <w:rsid w:val="00036C1C"/>
    <w:rsid w:val="00037412"/>
    <w:rsid w:val="000374AC"/>
    <w:rsid w:val="000379B6"/>
    <w:rsid w:val="00037D1E"/>
    <w:rsid w:val="00037EF0"/>
    <w:rsid w:val="00040119"/>
    <w:rsid w:val="000401BB"/>
    <w:rsid w:val="00040325"/>
    <w:rsid w:val="0004054B"/>
    <w:rsid w:val="0004056C"/>
    <w:rsid w:val="000405AC"/>
    <w:rsid w:val="00040670"/>
    <w:rsid w:val="000408E8"/>
    <w:rsid w:val="00040D03"/>
    <w:rsid w:val="00040E15"/>
    <w:rsid w:val="00040F76"/>
    <w:rsid w:val="00041210"/>
    <w:rsid w:val="000412C7"/>
    <w:rsid w:val="00041392"/>
    <w:rsid w:val="00041436"/>
    <w:rsid w:val="000414A4"/>
    <w:rsid w:val="0004151E"/>
    <w:rsid w:val="00041E17"/>
    <w:rsid w:val="00041E32"/>
    <w:rsid w:val="00041F01"/>
    <w:rsid w:val="000425A8"/>
    <w:rsid w:val="00042699"/>
    <w:rsid w:val="00043103"/>
    <w:rsid w:val="00043211"/>
    <w:rsid w:val="00043349"/>
    <w:rsid w:val="00043900"/>
    <w:rsid w:val="000439B5"/>
    <w:rsid w:val="00043B5A"/>
    <w:rsid w:val="00043D37"/>
    <w:rsid w:val="00043DE8"/>
    <w:rsid w:val="00043E87"/>
    <w:rsid w:val="00045212"/>
    <w:rsid w:val="00045386"/>
    <w:rsid w:val="00045554"/>
    <w:rsid w:val="00045B5A"/>
    <w:rsid w:val="00045F79"/>
    <w:rsid w:val="00046348"/>
    <w:rsid w:val="00046C82"/>
    <w:rsid w:val="00046E76"/>
    <w:rsid w:val="00047166"/>
    <w:rsid w:val="000471BB"/>
    <w:rsid w:val="000472E1"/>
    <w:rsid w:val="000475BD"/>
    <w:rsid w:val="00047A02"/>
    <w:rsid w:val="00047D6E"/>
    <w:rsid w:val="00047DB3"/>
    <w:rsid w:val="00047E1C"/>
    <w:rsid w:val="000502B2"/>
    <w:rsid w:val="000504C2"/>
    <w:rsid w:val="00050A28"/>
    <w:rsid w:val="00050E24"/>
    <w:rsid w:val="0005142D"/>
    <w:rsid w:val="000514E2"/>
    <w:rsid w:val="000515BC"/>
    <w:rsid w:val="000519A4"/>
    <w:rsid w:val="00051BC6"/>
    <w:rsid w:val="00052160"/>
    <w:rsid w:val="00052B70"/>
    <w:rsid w:val="00052CD5"/>
    <w:rsid w:val="0005301A"/>
    <w:rsid w:val="00053047"/>
    <w:rsid w:val="000538EE"/>
    <w:rsid w:val="00053B1B"/>
    <w:rsid w:val="00053CCF"/>
    <w:rsid w:val="0005404C"/>
    <w:rsid w:val="00054523"/>
    <w:rsid w:val="000545D1"/>
    <w:rsid w:val="00054711"/>
    <w:rsid w:val="00054766"/>
    <w:rsid w:val="000547C8"/>
    <w:rsid w:val="000549D6"/>
    <w:rsid w:val="00054D70"/>
    <w:rsid w:val="00055551"/>
    <w:rsid w:val="00055607"/>
    <w:rsid w:val="00055979"/>
    <w:rsid w:val="00055DC0"/>
    <w:rsid w:val="0005600C"/>
    <w:rsid w:val="000560F8"/>
    <w:rsid w:val="00056A8A"/>
    <w:rsid w:val="00056B8B"/>
    <w:rsid w:val="00056FE0"/>
    <w:rsid w:val="0005741D"/>
    <w:rsid w:val="00057825"/>
    <w:rsid w:val="00057B99"/>
    <w:rsid w:val="00057D7C"/>
    <w:rsid w:val="00057E5B"/>
    <w:rsid w:val="00060947"/>
    <w:rsid w:val="00060C82"/>
    <w:rsid w:val="00060D99"/>
    <w:rsid w:val="00060E48"/>
    <w:rsid w:val="00061754"/>
    <w:rsid w:val="00061964"/>
    <w:rsid w:val="00061D1B"/>
    <w:rsid w:val="0006238F"/>
    <w:rsid w:val="000624F7"/>
    <w:rsid w:val="00062F57"/>
    <w:rsid w:val="000630FE"/>
    <w:rsid w:val="00063109"/>
    <w:rsid w:val="000631F7"/>
    <w:rsid w:val="0006346A"/>
    <w:rsid w:val="000634ED"/>
    <w:rsid w:val="0006351F"/>
    <w:rsid w:val="000635B6"/>
    <w:rsid w:val="00063A92"/>
    <w:rsid w:val="00063D14"/>
    <w:rsid w:val="00063F29"/>
    <w:rsid w:val="0006419E"/>
    <w:rsid w:val="00064247"/>
    <w:rsid w:val="00064299"/>
    <w:rsid w:val="00064415"/>
    <w:rsid w:val="00064E3C"/>
    <w:rsid w:val="000652C2"/>
    <w:rsid w:val="000653A2"/>
    <w:rsid w:val="0006581D"/>
    <w:rsid w:val="00065945"/>
    <w:rsid w:val="0006594C"/>
    <w:rsid w:val="00065A82"/>
    <w:rsid w:val="00065C74"/>
    <w:rsid w:val="00065E10"/>
    <w:rsid w:val="000676DC"/>
    <w:rsid w:val="00067752"/>
    <w:rsid w:val="00067828"/>
    <w:rsid w:val="00067880"/>
    <w:rsid w:val="00067ACA"/>
    <w:rsid w:val="00067BD9"/>
    <w:rsid w:val="00067C96"/>
    <w:rsid w:val="000702B8"/>
    <w:rsid w:val="000709CB"/>
    <w:rsid w:val="00070D8E"/>
    <w:rsid w:val="00070EB5"/>
    <w:rsid w:val="0007112D"/>
    <w:rsid w:val="0007113F"/>
    <w:rsid w:val="0007119A"/>
    <w:rsid w:val="00071618"/>
    <w:rsid w:val="000717AC"/>
    <w:rsid w:val="00072145"/>
    <w:rsid w:val="000721FD"/>
    <w:rsid w:val="000727DC"/>
    <w:rsid w:val="00073157"/>
    <w:rsid w:val="00073302"/>
    <w:rsid w:val="000734CA"/>
    <w:rsid w:val="00073803"/>
    <w:rsid w:val="00073871"/>
    <w:rsid w:val="00073886"/>
    <w:rsid w:val="000739F3"/>
    <w:rsid w:val="00073A66"/>
    <w:rsid w:val="00073FB8"/>
    <w:rsid w:val="00074107"/>
    <w:rsid w:val="0007433D"/>
    <w:rsid w:val="000746F4"/>
    <w:rsid w:val="00074821"/>
    <w:rsid w:val="00074901"/>
    <w:rsid w:val="00074EF3"/>
    <w:rsid w:val="000751DA"/>
    <w:rsid w:val="00075297"/>
    <w:rsid w:val="00075455"/>
    <w:rsid w:val="000754FF"/>
    <w:rsid w:val="000759EA"/>
    <w:rsid w:val="0007656B"/>
    <w:rsid w:val="00076F9D"/>
    <w:rsid w:val="00077028"/>
    <w:rsid w:val="00077279"/>
    <w:rsid w:val="0007771B"/>
    <w:rsid w:val="00077763"/>
    <w:rsid w:val="00077873"/>
    <w:rsid w:val="00077B45"/>
    <w:rsid w:val="00077D52"/>
    <w:rsid w:val="00077DAE"/>
    <w:rsid w:val="00077FF8"/>
    <w:rsid w:val="00080391"/>
    <w:rsid w:val="000803A9"/>
    <w:rsid w:val="00080DC6"/>
    <w:rsid w:val="00081413"/>
    <w:rsid w:val="000814D9"/>
    <w:rsid w:val="00082EFE"/>
    <w:rsid w:val="00083354"/>
    <w:rsid w:val="000836AD"/>
    <w:rsid w:val="0008377D"/>
    <w:rsid w:val="00083804"/>
    <w:rsid w:val="00083837"/>
    <w:rsid w:val="00083D9D"/>
    <w:rsid w:val="00083EFC"/>
    <w:rsid w:val="0008465B"/>
    <w:rsid w:val="00084728"/>
    <w:rsid w:val="00084806"/>
    <w:rsid w:val="00084A05"/>
    <w:rsid w:val="00084B60"/>
    <w:rsid w:val="00084C7C"/>
    <w:rsid w:val="00084CC5"/>
    <w:rsid w:val="00084DE8"/>
    <w:rsid w:val="00084E43"/>
    <w:rsid w:val="000850E7"/>
    <w:rsid w:val="000855BE"/>
    <w:rsid w:val="0008564C"/>
    <w:rsid w:val="000856A8"/>
    <w:rsid w:val="000857D8"/>
    <w:rsid w:val="0008580D"/>
    <w:rsid w:val="000859C6"/>
    <w:rsid w:val="000860DC"/>
    <w:rsid w:val="00086115"/>
    <w:rsid w:val="000861AC"/>
    <w:rsid w:val="000863CA"/>
    <w:rsid w:val="00086680"/>
    <w:rsid w:val="00086ABD"/>
    <w:rsid w:val="00086BF9"/>
    <w:rsid w:val="0008760D"/>
    <w:rsid w:val="00087791"/>
    <w:rsid w:val="000878C0"/>
    <w:rsid w:val="00087B3E"/>
    <w:rsid w:val="00087C90"/>
    <w:rsid w:val="00087DAD"/>
    <w:rsid w:val="00087E0E"/>
    <w:rsid w:val="00090463"/>
    <w:rsid w:val="00090618"/>
    <w:rsid w:val="00090941"/>
    <w:rsid w:val="0009130F"/>
    <w:rsid w:val="000914FD"/>
    <w:rsid w:val="0009162B"/>
    <w:rsid w:val="0009167B"/>
    <w:rsid w:val="00091821"/>
    <w:rsid w:val="00091A48"/>
    <w:rsid w:val="00091CA8"/>
    <w:rsid w:val="00091CB0"/>
    <w:rsid w:val="000923E8"/>
    <w:rsid w:val="000927FF"/>
    <w:rsid w:val="00092822"/>
    <w:rsid w:val="0009285B"/>
    <w:rsid w:val="00092A1E"/>
    <w:rsid w:val="00092C11"/>
    <w:rsid w:val="00093C59"/>
    <w:rsid w:val="00093D2E"/>
    <w:rsid w:val="000941B7"/>
    <w:rsid w:val="0009448B"/>
    <w:rsid w:val="00094AF8"/>
    <w:rsid w:val="00094E68"/>
    <w:rsid w:val="00094EA1"/>
    <w:rsid w:val="00095173"/>
    <w:rsid w:val="000952AD"/>
    <w:rsid w:val="000961FB"/>
    <w:rsid w:val="0009639A"/>
    <w:rsid w:val="00096991"/>
    <w:rsid w:val="00096C6D"/>
    <w:rsid w:val="00096DCE"/>
    <w:rsid w:val="00097113"/>
    <w:rsid w:val="00097264"/>
    <w:rsid w:val="000973AE"/>
    <w:rsid w:val="00097A40"/>
    <w:rsid w:val="00097E2B"/>
    <w:rsid w:val="000A05CF"/>
    <w:rsid w:val="000A0BED"/>
    <w:rsid w:val="000A0D56"/>
    <w:rsid w:val="000A1161"/>
    <w:rsid w:val="000A1225"/>
    <w:rsid w:val="000A1890"/>
    <w:rsid w:val="000A19A2"/>
    <w:rsid w:val="000A1CD4"/>
    <w:rsid w:val="000A2374"/>
    <w:rsid w:val="000A246F"/>
    <w:rsid w:val="000A2527"/>
    <w:rsid w:val="000A31A0"/>
    <w:rsid w:val="000A38A9"/>
    <w:rsid w:val="000A3E6D"/>
    <w:rsid w:val="000A4238"/>
    <w:rsid w:val="000A431C"/>
    <w:rsid w:val="000A4A92"/>
    <w:rsid w:val="000A4BE2"/>
    <w:rsid w:val="000A52E8"/>
    <w:rsid w:val="000A5322"/>
    <w:rsid w:val="000A53FB"/>
    <w:rsid w:val="000A5406"/>
    <w:rsid w:val="000A546C"/>
    <w:rsid w:val="000A5494"/>
    <w:rsid w:val="000A5813"/>
    <w:rsid w:val="000A5ADD"/>
    <w:rsid w:val="000A5BF2"/>
    <w:rsid w:val="000A644C"/>
    <w:rsid w:val="000A6621"/>
    <w:rsid w:val="000A667C"/>
    <w:rsid w:val="000A66EE"/>
    <w:rsid w:val="000A681A"/>
    <w:rsid w:val="000A6AFD"/>
    <w:rsid w:val="000A6D96"/>
    <w:rsid w:val="000A6E54"/>
    <w:rsid w:val="000A73E5"/>
    <w:rsid w:val="000B0187"/>
    <w:rsid w:val="000B03D0"/>
    <w:rsid w:val="000B05F0"/>
    <w:rsid w:val="000B0C32"/>
    <w:rsid w:val="000B0C52"/>
    <w:rsid w:val="000B0EBB"/>
    <w:rsid w:val="000B0F6D"/>
    <w:rsid w:val="000B16D5"/>
    <w:rsid w:val="000B17A7"/>
    <w:rsid w:val="000B1824"/>
    <w:rsid w:val="000B1A3F"/>
    <w:rsid w:val="000B1BD7"/>
    <w:rsid w:val="000B217D"/>
    <w:rsid w:val="000B2522"/>
    <w:rsid w:val="000B27F3"/>
    <w:rsid w:val="000B3313"/>
    <w:rsid w:val="000B3BE8"/>
    <w:rsid w:val="000B4147"/>
    <w:rsid w:val="000B44B7"/>
    <w:rsid w:val="000B495B"/>
    <w:rsid w:val="000B4E95"/>
    <w:rsid w:val="000B52BD"/>
    <w:rsid w:val="000B537C"/>
    <w:rsid w:val="000B5718"/>
    <w:rsid w:val="000B5F7E"/>
    <w:rsid w:val="000B5FDF"/>
    <w:rsid w:val="000B6293"/>
    <w:rsid w:val="000B6317"/>
    <w:rsid w:val="000B63BD"/>
    <w:rsid w:val="000B680F"/>
    <w:rsid w:val="000B7908"/>
    <w:rsid w:val="000B7C9D"/>
    <w:rsid w:val="000B7E45"/>
    <w:rsid w:val="000B7EB9"/>
    <w:rsid w:val="000B7FD0"/>
    <w:rsid w:val="000C010F"/>
    <w:rsid w:val="000C03E5"/>
    <w:rsid w:val="000C078E"/>
    <w:rsid w:val="000C0B0C"/>
    <w:rsid w:val="000C0EB3"/>
    <w:rsid w:val="000C1592"/>
    <w:rsid w:val="000C165A"/>
    <w:rsid w:val="000C18DC"/>
    <w:rsid w:val="000C1B1A"/>
    <w:rsid w:val="000C1C03"/>
    <w:rsid w:val="000C1D2F"/>
    <w:rsid w:val="000C1DA8"/>
    <w:rsid w:val="000C28FD"/>
    <w:rsid w:val="000C2CE5"/>
    <w:rsid w:val="000C32CA"/>
    <w:rsid w:val="000C3437"/>
    <w:rsid w:val="000C343B"/>
    <w:rsid w:val="000C3639"/>
    <w:rsid w:val="000C3858"/>
    <w:rsid w:val="000C3A2E"/>
    <w:rsid w:val="000C3B80"/>
    <w:rsid w:val="000C3CBF"/>
    <w:rsid w:val="000C4428"/>
    <w:rsid w:val="000C4499"/>
    <w:rsid w:val="000C4939"/>
    <w:rsid w:val="000C4DC8"/>
    <w:rsid w:val="000C54AA"/>
    <w:rsid w:val="000C5514"/>
    <w:rsid w:val="000C58AE"/>
    <w:rsid w:val="000C5AC0"/>
    <w:rsid w:val="000C5C9F"/>
    <w:rsid w:val="000C5E1D"/>
    <w:rsid w:val="000C5E3B"/>
    <w:rsid w:val="000C5E9A"/>
    <w:rsid w:val="000C74C6"/>
    <w:rsid w:val="000C79B0"/>
    <w:rsid w:val="000C7C45"/>
    <w:rsid w:val="000D0350"/>
    <w:rsid w:val="000D051A"/>
    <w:rsid w:val="000D057B"/>
    <w:rsid w:val="000D0589"/>
    <w:rsid w:val="000D0B29"/>
    <w:rsid w:val="000D0DCD"/>
    <w:rsid w:val="000D0F52"/>
    <w:rsid w:val="000D1197"/>
    <w:rsid w:val="000D1291"/>
    <w:rsid w:val="000D18E4"/>
    <w:rsid w:val="000D1B1A"/>
    <w:rsid w:val="000D232A"/>
    <w:rsid w:val="000D2649"/>
    <w:rsid w:val="000D28BD"/>
    <w:rsid w:val="000D2E3E"/>
    <w:rsid w:val="000D311F"/>
    <w:rsid w:val="000D4EBA"/>
    <w:rsid w:val="000D4FE4"/>
    <w:rsid w:val="000D553B"/>
    <w:rsid w:val="000D56AB"/>
    <w:rsid w:val="000D56FF"/>
    <w:rsid w:val="000D5BF9"/>
    <w:rsid w:val="000D601B"/>
    <w:rsid w:val="000D64F8"/>
    <w:rsid w:val="000D66B7"/>
    <w:rsid w:val="000D6726"/>
    <w:rsid w:val="000D67B3"/>
    <w:rsid w:val="000D6A9F"/>
    <w:rsid w:val="000D6B9D"/>
    <w:rsid w:val="000D6D80"/>
    <w:rsid w:val="000D6E30"/>
    <w:rsid w:val="000D747E"/>
    <w:rsid w:val="000D76AF"/>
    <w:rsid w:val="000D79B9"/>
    <w:rsid w:val="000E02A2"/>
    <w:rsid w:val="000E0564"/>
    <w:rsid w:val="000E0D6A"/>
    <w:rsid w:val="000E112F"/>
    <w:rsid w:val="000E1732"/>
    <w:rsid w:val="000E1853"/>
    <w:rsid w:val="000E19BA"/>
    <w:rsid w:val="000E1A00"/>
    <w:rsid w:val="000E1B4E"/>
    <w:rsid w:val="000E1C6A"/>
    <w:rsid w:val="000E1C85"/>
    <w:rsid w:val="000E24F0"/>
    <w:rsid w:val="000E2955"/>
    <w:rsid w:val="000E2C2D"/>
    <w:rsid w:val="000E2C9C"/>
    <w:rsid w:val="000E2F3F"/>
    <w:rsid w:val="000E355E"/>
    <w:rsid w:val="000E3795"/>
    <w:rsid w:val="000E3CD6"/>
    <w:rsid w:val="000E4484"/>
    <w:rsid w:val="000E4DFB"/>
    <w:rsid w:val="000E4E7B"/>
    <w:rsid w:val="000E4EDE"/>
    <w:rsid w:val="000E4EE6"/>
    <w:rsid w:val="000E5514"/>
    <w:rsid w:val="000E57AC"/>
    <w:rsid w:val="000E591D"/>
    <w:rsid w:val="000E5BBE"/>
    <w:rsid w:val="000E5C93"/>
    <w:rsid w:val="000E5D6D"/>
    <w:rsid w:val="000E610B"/>
    <w:rsid w:val="000E6457"/>
    <w:rsid w:val="000E68E1"/>
    <w:rsid w:val="000E6E00"/>
    <w:rsid w:val="000E6E29"/>
    <w:rsid w:val="000E7606"/>
    <w:rsid w:val="000E76F4"/>
    <w:rsid w:val="000E77D1"/>
    <w:rsid w:val="000E7D8B"/>
    <w:rsid w:val="000F0557"/>
    <w:rsid w:val="000F0D29"/>
    <w:rsid w:val="000F1EB6"/>
    <w:rsid w:val="000F2364"/>
    <w:rsid w:val="000F239F"/>
    <w:rsid w:val="000F259D"/>
    <w:rsid w:val="000F2E06"/>
    <w:rsid w:val="000F2ED3"/>
    <w:rsid w:val="000F2FA2"/>
    <w:rsid w:val="000F2FAE"/>
    <w:rsid w:val="000F33A6"/>
    <w:rsid w:val="000F425D"/>
    <w:rsid w:val="000F4473"/>
    <w:rsid w:val="000F4727"/>
    <w:rsid w:val="000F5141"/>
    <w:rsid w:val="000F529C"/>
    <w:rsid w:val="000F596D"/>
    <w:rsid w:val="000F5B2E"/>
    <w:rsid w:val="000F5EBC"/>
    <w:rsid w:val="000F7843"/>
    <w:rsid w:val="000F7946"/>
    <w:rsid w:val="000F7A01"/>
    <w:rsid w:val="000F7A66"/>
    <w:rsid w:val="0010014F"/>
    <w:rsid w:val="00100D34"/>
    <w:rsid w:val="00100EF4"/>
    <w:rsid w:val="00101A7D"/>
    <w:rsid w:val="0010266F"/>
    <w:rsid w:val="00102724"/>
    <w:rsid w:val="001029AC"/>
    <w:rsid w:val="001030E3"/>
    <w:rsid w:val="001035C9"/>
    <w:rsid w:val="00103685"/>
    <w:rsid w:val="001039E2"/>
    <w:rsid w:val="00103AAE"/>
    <w:rsid w:val="00103B10"/>
    <w:rsid w:val="00104419"/>
    <w:rsid w:val="0010486F"/>
    <w:rsid w:val="0010489A"/>
    <w:rsid w:val="001048BD"/>
    <w:rsid w:val="00104ABA"/>
    <w:rsid w:val="00104EC8"/>
    <w:rsid w:val="001057E2"/>
    <w:rsid w:val="00105E6E"/>
    <w:rsid w:val="00105FB4"/>
    <w:rsid w:val="00106218"/>
    <w:rsid w:val="0010642A"/>
    <w:rsid w:val="001064DA"/>
    <w:rsid w:val="00106817"/>
    <w:rsid w:val="00106B86"/>
    <w:rsid w:val="00106D6A"/>
    <w:rsid w:val="00106D79"/>
    <w:rsid w:val="00106ED7"/>
    <w:rsid w:val="001071EB"/>
    <w:rsid w:val="001073DC"/>
    <w:rsid w:val="00107718"/>
    <w:rsid w:val="0010792E"/>
    <w:rsid w:val="00107CA0"/>
    <w:rsid w:val="001102EE"/>
    <w:rsid w:val="00110752"/>
    <w:rsid w:val="001109B8"/>
    <w:rsid w:val="0011127C"/>
    <w:rsid w:val="00111410"/>
    <w:rsid w:val="00111500"/>
    <w:rsid w:val="001117F1"/>
    <w:rsid w:val="00111A78"/>
    <w:rsid w:val="00111A9D"/>
    <w:rsid w:val="0011206C"/>
    <w:rsid w:val="00112502"/>
    <w:rsid w:val="00112E04"/>
    <w:rsid w:val="00112ED8"/>
    <w:rsid w:val="001131E9"/>
    <w:rsid w:val="0011346F"/>
    <w:rsid w:val="0011394F"/>
    <w:rsid w:val="00113D96"/>
    <w:rsid w:val="00113E43"/>
    <w:rsid w:val="00113E4A"/>
    <w:rsid w:val="0011440A"/>
    <w:rsid w:val="00114865"/>
    <w:rsid w:val="00114B58"/>
    <w:rsid w:val="00114CCA"/>
    <w:rsid w:val="00114EBE"/>
    <w:rsid w:val="0011514C"/>
    <w:rsid w:val="00115382"/>
    <w:rsid w:val="00115471"/>
    <w:rsid w:val="00115ABA"/>
    <w:rsid w:val="00115E13"/>
    <w:rsid w:val="00116652"/>
    <w:rsid w:val="00116802"/>
    <w:rsid w:val="001168DB"/>
    <w:rsid w:val="00116CAB"/>
    <w:rsid w:val="00116D63"/>
    <w:rsid w:val="00116DEF"/>
    <w:rsid w:val="00116F75"/>
    <w:rsid w:val="00117604"/>
    <w:rsid w:val="00117CC3"/>
    <w:rsid w:val="00117D62"/>
    <w:rsid w:val="001200E5"/>
    <w:rsid w:val="00120197"/>
    <w:rsid w:val="00120637"/>
    <w:rsid w:val="0012095B"/>
    <w:rsid w:val="00120C99"/>
    <w:rsid w:val="00120E7B"/>
    <w:rsid w:val="00120EC3"/>
    <w:rsid w:val="00120EF6"/>
    <w:rsid w:val="00120F10"/>
    <w:rsid w:val="00121113"/>
    <w:rsid w:val="00121445"/>
    <w:rsid w:val="0012198D"/>
    <w:rsid w:val="00121A8E"/>
    <w:rsid w:val="00121C11"/>
    <w:rsid w:val="0012213C"/>
    <w:rsid w:val="001226D8"/>
    <w:rsid w:val="001229B6"/>
    <w:rsid w:val="00122E7A"/>
    <w:rsid w:val="00123060"/>
    <w:rsid w:val="001230F7"/>
    <w:rsid w:val="00123339"/>
    <w:rsid w:val="001239F3"/>
    <w:rsid w:val="00123C68"/>
    <w:rsid w:val="00123C9C"/>
    <w:rsid w:val="00124B2C"/>
    <w:rsid w:val="00124C89"/>
    <w:rsid w:val="00125119"/>
    <w:rsid w:val="0012604E"/>
    <w:rsid w:val="001260B9"/>
    <w:rsid w:val="001266F2"/>
    <w:rsid w:val="001267CE"/>
    <w:rsid w:val="001267F3"/>
    <w:rsid w:val="00126B07"/>
    <w:rsid w:val="001271CA"/>
    <w:rsid w:val="0012731A"/>
    <w:rsid w:val="001276C3"/>
    <w:rsid w:val="001277FC"/>
    <w:rsid w:val="0012797F"/>
    <w:rsid w:val="00127C0B"/>
    <w:rsid w:val="00127D9F"/>
    <w:rsid w:val="0013057B"/>
    <w:rsid w:val="001305E2"/>
    <w:rsid w:val="00130FEA"/>
    <w:rsid w:val="0013130F"/>
    <w:rsid w:val="00131834"/>
    <w:rsid w:val="00131DC8"/>
    <w:rsid w:val="00131FF5"/>
    <w:rsid w:val="00132291"/>
    <w:rsid w:val="00132509"/>
    <w:rsid w:val="0013256B"/>
    <w:rsid w:val="00132735"/>
    <w:rsid w:val="001328D0"/>
    <w:rsid w:val="00132955"/>
    <w:rsid w:val="00132B6E"/>
    <w:rsid w:val="00133400"/>
    <w:rsid w:val="0013340A"/>
    <w:rsid w:val="001336E4"/>
    <w:rsid w:val="00133D89"/>
    <w:rsid w:val="0013430A"/>
    <w:rsid w:val="0013488B"/>
    <w:rsid w:val="001353AD"/>
    <w:rsid w:val="001353F5"/>
    <w:rsid w:val="001356DA"/>
    <w:rsid w:val="00135854"/>
    <w:rsid w:val="001359B2"/>
    <w:rsid w:val="001359C9"/>
    <w:rsid w:val="00135A25"/>
    <w:rsid w:val="00135CFD"/>
    <w:rsid w:val="001365EF"/>
    <w:rsid w:val="0013661D"/>
    <w:rsid w:val="00136630"/>
    <w:rsid w:val="001366AB"/>
    <w:rsid w:val="00136732"/>
    <w:rsid w:val="001367A4"/>
    <w:rsid w:val="00136814"/>
    <w:rsid w:val="0013687C"/>
    <w:rsid w:val="00137067"/>
    <w:rsid w:val="001370DE"/>
    <w:rsid w:val="0013746B"/>
    <w:rsid w:val="0013793E"/>
    <w:rsid w:val="00137B60"/>
    <w:rsid w:val="00137FD1"/>
    <w:rsid w:val="00140262"/>
    <w:rsid w:val="0014049E"/>
    <w:rsid w:val="00140A0A"/>
    <w:rsid w:val="00140A56"/>
    <w:rsid w:val="00140C1B"/>
    <w:rsid w:val="0014170B"/>
    <w:rsid w:val="00141AB5"/>
    <w:rsid w:val="00141AFB"/>
    <w:rsid w:val="00141BC8"/>
    <w:rsid w:val="00141FDF"/>
    <w:rsid w:val="00142236"/>
    <w:rsid w:val="001423DC"/>
    <w:rsid w:val="00142EE8"/>
    <w:rsid w:val="00142FDF"/>
    <w:rsid w:val="00142FE1"/>
    <w:rsid w:val="0014381B"/>
    <w:rsid w:val="001438DF"/>
    <w:rsid w:val="00143EDE"/>
    <w:rsid w:val="001440EE"/>
    <w:rsid w:val="00144337"/>
    <w:rsid w:val="001443C8"/>
    <w:rsid w:val="0014470F"/>
    <w:rsid w:val="00144A41"/>
    <w:rsid w:val="00144B85"/>
    <w:rsid w:val="001451DF"/>
    <w:rsid w:val="00145ADF"/>
    <w:rsid w:val="001460BC"/>
    <w:rsid w:val="0014611C"/>
    <w:rsid w:val="0014630C"/>
    <w:rsid w:val="00146F69"/>
    <w:rsid w:val="00147689"/>
    <w:rsid w:val="001476C7"/>
    <w:rsid w:val="001476F0"/>
    <w:rsid w:val="00147856"/>
    <w:rsid w:val="00147967"/>
    <w:rsid w:val="001500A2"/>
    <w:rsid w:val="00150607"/>
    <w:rsid w:val="00150621"/>
    <w:rsid w:val="001507BD"/>
    <w:rsid w:val="00150922"/>
    <w:rsid w:val="00150AF1"/>
    <w:rsid w:val="00150C8C"/>
    <w:rsid w:val="00150D15"/>
    <w:rsid w:val="00150D85"/>
    <w:rsid w:val="00150DDA"/>
    <w:rsid w:val="00150F17"/>
    <w:rsid w:val="0015100E"/>
    <w:rsid w:val="00151174"/>
    <w:rsid w:val="0015164D"/>
    <w:rsid w:val="00151DA8"/>
    <w:rsid w:val="0015203B"/>
    <w:rsid w:val="0015266A"/>
    <w:rsid w:val="00152A01"/>
    <w:rsid w:val="00152C85"/>
    <w:rsid w:val="001530D7"/>
    <w:rsid w:val="00153589"/>
    <w:rsid w:val="00153688"/>
    <w:rsid w:val="00153D2C"/>
    <w:rsid w:val="00154335"/>
    <w:rsid w:val="00154399"/>
    <w:rsid w:val="0015439D"/>
    <w:rsid w:val="001544C4"/>
    <w:rsid w:val="00154712"/>
    <w:rsid w:val="00154745"/>
    <w:rsid w:val="001547F0"/>
    <w:rsid w:val="0015494B"/>
    <w:rsid w:val="00154AC5"/>
    <w:rsid w:val="00154B7E"/>
    <w:rsid w:val="00154BB6"/>
    <w:rsid w:val="00154DF0"/>
    <w:rsid w:val="0015501F"/>
    <w:rsid w:val="0015518C"/>
    <w:rsid w:val="0015573F"/>
    <w:rsid w:val="001557D0"/>
    <w:rsid w:val="00155D75"/>
    <w:rsid w:val="00155F10"/>
    <w:rsid w:val="00155F91"/>
    <w:rsid w:val="00156610"/>
    <w:rsid w:val="001566B5"/>
    <w:rsid w:val="0015676B"/>
    <w:rsid w:val="00156998"/>
    <w:rsid w:val="00156999"/>
    <w:rsid w:val="001571B4"/>
    <w:rsid w:val="00157346"/>
    <w:rsid w:val="001577B9"/>
    <w:rsid w:val="001578AA"/>
    <w:rsid w:val="00157916"/>
    <w:rsid w:val="00157CD1"/>
    <w:rsid w:val="00160098"/>
    <w:rsid w:val="0016030E"/>
    <w:rsid w:val="001605AB"/>
    <w:rsid w:val="001606EE"/>
    <w:rsid w:val="001607F1"/>
    <w:rsid w:val="00160BA4"/>
    <w:rsid w:val="00160CA7"/>
    <w:rsid w:val="00160F1E"/>
    <w:rsid w:val="00161212"/>
    <w:rsid w:val="001613F0"/>
    <w:rsid w:val="001615EE"/>
    <w:rsid w:val="0016173D"/>
    <w:rsid w:val="00161850"/>
    <w:rsid w:val="00161DC7"/>
    <w:rsid w:val="00162236"/>
    <w:rsid w:val="00162D81"/>
    <w:rsid w:val="00162DC5"/>
    <w:rsid w:val="00163778"/>
    <w:rsid w:val="00163AA6"/>
    <w:rsid w:val="00163D40"/>
    <w:rsid w:val="00163E07"/>
    <w:rsid w:val="00163F45"/>
    <w:rsid w:val="001643B1"/>
    <w:rsid w:val="00164575"/>
    <w:rsid w:val="001649DF"/>
    <w:rsid w:val="00164BF1"/>
    <w:rsid w:val="00164E6B"/>
    <w:rsid w:val="00165836"/>
    <w:rsid w:val="00165B82"/>
    <w:rsid w:val="00166317"/>
    <w:rsid w:val="0016652D"/>
    <w:rsid w:val="0016674B"/>
    <w:rsid w:val="00166A84"/>
    <w:rsid w:val="00166CC4"/>
    <w:rsid w:val="00166F11"/>
    <w:rsid w:val="00167343"/>
    <w:rsid w:val="00167A3E"/>
    <w:rsid w:val="001705AB"/>
    <w:rsid w:val="00171780"/>
    <w:rsid w:val="00171C36"/>
    <w:rsid w:val="00171C46"/>
    <w:rsid w:val="00171E88"/>
    <w:rsid w:val="001724CA"/>
    <w:rsid w:val="0017273D"/>
    <w:rsid w:val="001728C8"/>
    <w:rsid w:val="00172B75"/>
    <w:rsid w:val="00172EAB"/>
    <w:rsid w:val="001733A1"/>
    <w:rsid w:val="00173681"/>
    <w:rsid w:val="0017396C"/>
    <w:rsid w:val="00173C06"/>
    <w:rsid w:val="00173C5C"/>
    <w:rsid w:val="001743A1"/>
    <w:rsid w:val="00174D32"/>
    <w:rsid w:val="0017500A"/>
    <w:rsid w:val="00175450"/>
    <w:rsid w:val="00175758"/>
    <w:rsid w:val="00176131"/>
    <w:rsid w:val="00176532"/>
    <w:rsid w:val="001765C1"/>
    <w:rsid w:val="00176637"/>
    <w:rsid w:val="00176B2A"/>
    <w:rsid w:val="00176C63"/>
    <w:rsid w:val="00176E7E"/>
    <w:rsid w:val="0017753B"/>
    <w:rsid w:val="00177661"/>
    <w:rsid w:val="00177CA0"/>
    <w:rsid w:val="001805B9"/>
    <w:rsid w:val="00180737"/>
    <w:rsid w:val="001816B5"/>
    <w:rsid w:val="00181C77"/>
    <w:rsid w:val="00181DBB"/>
    <w:rsid w:val="00181F52"/>
    <w:rsid w:val="00181F99"/>
    <w:rsid w:val="00182229"/>
    <w:rsid w:val="001823AF"/>
    <w:rsid w:val="001825F0"/>
    <w:rsid w:val="001826E8"/>
    <w:rsid w:val="001827BF"/>
    <w:rsid w:val="00182A60"/>
    <w:rsid w:val="00182AD7"/>
    <w:rsid w:val="00182C8D"/>
    <w:rsid w:val="00182D2F"/>
    <w:rsid w:val="00183830"/>
    <w:rsid w:val="001838CB"/>
    <w:rsid w:val="001838D5"/>
    <w:rsid w:val="00183A6A"/>
    <w:rsid w:val="00183AF7"/>
    <w:rsid w:val="00183B53"/>
    <w:rsid w:val="00183F3B"/>
    <w:rsid w:val="001840AA"/>
    <w:rsid w:val="0018415A"/>
    <w:rsid w:val="00184BAB"/>
    <w:rsid w:val="001853D9"/>
    <w:rsid w:val="00185482"/>
    <w:rsid w:val="001855D9"/>
    <w:rsid w:val="001859F0"/>
    <w:rsid w:val="00185A22"/>
    <w:rsid w:val="001862C5"/>
    <w:rsid w:val="0018637B"/>
    <w:rsid w:val="0018683E"/>
    <w:rsid w:val="00186BBD"/>
    <w:rsid w:val="00186CB7"/>
    <w:rsid w:val="00186FD5"/>
    <w:rsid w:val="00186FE6"/>
    <w:rsid w:val="0018714F"/>
    <w:rsid w:val="001872B1"/>
    <w:rsid w:val="00187608"/>
    <w:rsid w:val="0018780F"/>
    <w:rsid w:val="00190516"/>
    <w:rsid w:val="00190C4A"/>
    <w:rsid w:val="00190E30"/>
    <w:rsid w:val="00191462"/>
    <w:rsid w:val="00191634"/>
    <w:rsid w:val="0019187F"/>
    <w:rsid w:val="00191C52"/>
    <w:rsid w:val="00191E4F"/>
    <w:rsid w:val="00192350"/>
    <w:rsid w:val="0019271E"/>
    <w:rsid w:val="001928D6"/>
    <w:rsid w:val="00192B27"/>
    <w:rsid w:val="001932DC"/>
    <w:rsid w:val="00193565"/>
    <w:rsid w:val="00193975"/>
    <w:rsid w:val="00194310"/>
    <w:rsid w:val="0019469B"/>
    <w:rsid w:val="001946C1"/>
    <w:rsid w:val="001948D1"/>
    <w:rsid w:val="001950EE"/>
    <w:rsid w:val="0019510C"/>
    <w:rsid w:val="00195145"/>
    <w:rsid w:val="0019576B"/>
    <w:rsid w:val="00195789"/>
    <w:rsid w:val="001957CE"/>
    <w:rsid w:val="00195EEE"/>
    <w:rsid w:val="00196160"/>
    <w:rsid w:val="00196491"/>
    <w:rsid w:val="00196A61"/>
    <w:rsid w:val="00196BF5"/>
    <w:rsid w:val="00196D5F"/>
    <w:rsid w:val="00196DD4"/>
    <w:rsid w:val="001970EF"/>
    <w:rsid w:val="001975FC"/>
    <w:rsid w:val="00197881"/>
    <w:rsid w:val="00197961"/>
    <w:rsid w:val="00197C80"/>
    <w:rsid w:val="001A034F"/>
    <w:rsid w:val="001A03EE"/>
    <w:rsid w:val="001A070D"/>
    <w:rsid w:val="001A0822"/>
    <w:rsid w:val="001A0862"/>
    <w:rsid w:val="001A0882"/>
    <w:rsid w:val="001A0A41"/>
    <w:rsid w:val="001A0BCE"/>
    <w:rsid w:val="001A0C76"/>
    <w:rsid w:val="001A0CCE"/>
    <w:rsid w:val="001A0DE4"/>
    <w:rsid w:val="001A12DD"/>
    <w:rsid w:val="001A1A66"/>
    <w:rsid w:val="001A2668"/>
    <w:rsid w:val="001A2789"/>
    <w:rsid w:val="001A2C24"/>
    <w:rsid w:val="001A2C72"/>
    <w:rsid w:val="001A3264"/>
    <w:rsid w:val="001A352B"/>
    <w:rsid w:val="001A3556"/>
    <w:rsid w:val="001A3649"/>
    <w:rsid w:val="001A3804"/>
    <w:rsid w:val="001A3B5B"/>
    <w:rsid w:val="001A3DCE"/>
    <w:rsid w:val="001A40F5"/>
    <w:rsid w:val="001A47BB"/>
    <w:rsid w:val="001A486D"/>
    <w:rsid w:val="001A4BA5"/>
    <w:rsid w:val="001A4F8A"/>
    <w:rsid w:val="001A5314"/>
    <w:rsid w:val="001A55B0"/>
    <w:rsid w:val="001A55FA"/>
    <w:rsid w:val="001A5CD2"/>
    <w:rsid w:val="001A6086"/>
    <w:rsid w:val="001A6302"/>
    <w:rsid w:val="001A64A4"/>
    <w:rsid w:val="001A651B"/>
    <w:rsid w:val="001A696C"/>
    <w:rsid w:val="001A72CC"/>
    <w:rsid w:val="001A74D3"/>
    <w:rsid w:val="001A76DD"/>
    <w:rsid w:val="001A7BA0"/>
    <w:rsid w:val="001A7FE3"/>
    <w:rsid w:val="001B0387"/>
    <w:rsid w:val="001B0493"/>
    <w:rsid w:val="001B06C9"/>
    <w:rsid w:val="001B071D"/>
    <w:rsid w:val="001B097E"/>
    <w:rsid w:val="001B0A49"/>
    <w:rsid w:val="001B0CAA"/>
    <w:rsid w:val="001B0CD7"/>
    <w:rsid w:val="001B1CEB"/>
    <w:rsid w:val="001B1E8E"/>
    <w:rsid w:val="001B1F3E"/>
    <w:rsid w:val="001B2056"/>
    <w:rsid w:val="001B227F"/>
    <w:rsid w:val="001B27F1"/>
    <w:rsid w:val="001B2BCC"/>
    <w:rsid w:val="001B2D93"/>
    <w:rsid w:val="001B35A2"/>
    <w:rsid w:val="001B3AB8"/>
    <w:rsid w:val="001B43DE"/>
    <w:rsid w:val="001B49D7"/>
    <w:rsid w:val="001B54A7"/>
    <w:rsid w:val="001B57CA"/>
    <w:rsid w:val="001B584F"/>
    <w:rsid w:val="001B5B57"/>
    <w:rsid w:val="001B60A7"/>
    <w:rsid w:val="001B6483"/>
    <w:rsid w:val="001B6548"/>
    <w:rsid w:val="001B6563"/>
    <w:rsid w:val="001B6667"/>
    <w:rsid w:val="001B6E30"/>
    <w:rsid w:val="001B7013"/>
    <w:rsid w:val="001B716F"/>
    <w:rsid w:val="001B723C"/>
    <w:rsid w:val="001B75D3"/>
    <w:rsid w:val="001B7AB6"/>
    <w:rsid w:val="001B7AB8"/>
    <w:rsid w:val="001B7E03"/>
    <w:rsid w:val="001C02C3"/>
    <w:rsid w:val="001C03E1"/>
    <w:rsid w:val="001C0497"/>
    <w:rsid w:val="001C065B"/>
    <w:rsid w:val="001C08AD"/>
    <w:rsid w:val="001C0C30"/>
    <w:rsid w:val="001C108B"/>
    <w:rsid w:val="001C1423"/>
    <w:rsid w:val="001C1825"/>
    <w:rsid w:val="001C1DF1"/>
    <w:rsid w:val="001C1F52"/>
    <w:rsid w:val="001C21D3"/>
    <w:rsid w:val="001C2240"/>
    <w:rsid w:val="001C2A35"/>
    <w:rsid w:val="001C2C7C"/>
    <w:rsid w:val="001C2EA5"/>
    <w:rsid w:val="001C2F6E"/>
    <w:rsid w:val="001C2FAC"/>
    <w:rsid w:val="001C3658"/>
    <w:rsid w:val="001C36AF"/>
    <w:rsid w:val="001C388C"/>
    <w:rsid w:val="001C3BB4"/>
    <w:rsid w:val="001C3D87"/>
    <w:rsid w:val="001C3E5A"/>
    <w:rsid w:val="001C3ECD"/>
    <w:rsid w:val="001C4048"/>
    <w:rsid w:val="001C4197"/>
    <w:rsid w:val="001C42C4"/>
    <w:rsid w:val="001C4514"/>
    <w:rsid w:val="001C4A28"/>
    <w:rsid w:val="001C4AA2"/>
    <w:rsid w:val="001C4F38"/>
    <w:rsid w:val="001C517C"/>
    <w:rsid w:val="001C54C9"/>
    <w:rsid w:val="001C5747"/>
    <w:rsid w:val="001C583E"/>
    <w:rsid w:val="001C5A9C"/>
    <w:rsid w:val="001C5B04"/>
    <w:rsid w:val="001C5BA4"/>
    <w:rsid w:val="001C5CA1"/>
    <w:rsid w:val="001C5EA7"/>
    <w:rsid w:val="001C62AF"/>
    <w:rsid w:val="001C6D5C"/>
    <w:rsid w:val="001C7413"/>
    <w:rsid w:val="001C76F8"/>
    <w:rsid w:val="001C7A9B"/>
    <w:rsid w:val="001C7CA7"/>
    <w:rsid w:val="001C7CF5"/>
    <w:rsid w:val="001C7E7C"/>
    <w:rsid w:val="001C7F4F"/>
    <w:rsid w:val="001D0028"/>
    <w:rsid w:val="001D0391"/>
    <w:rsid w:val="001D04C7"/>
    <w:rsid w:val="001D0644"/>
    <w:rsid w:val="001D06C7"/>
    <w:rsid w:val="001D0752"/>
    <w:rsid w:val="001D0C2D"/>
    <w:rsid w:val="001D0CF4"/>
    <w:rsid w:val="001D1DE8"/>
    <w:rsid w:val="001D2177"/>
    <w:rsid w:val="001D21DA"/>
    <w:rsid w:val="001D2228"/>
    <w:rsid w:val="001D280A"/>
    <w:rsid w:val="001D2BE6"/>
    <w:rsid w:val="001D2C65"/>
    <w:rsid w:val="001D2DDA"/>
    <w:rsid w:val="001D31D6"/>
    <w:rsid w:val="001D3394"/>
    <w:rsid w:val="001D34F1"/>
    <w:rsid w:val="001D3795"/>
    <w:rsid w:val="001D3954"/>
    <w:rsid w:val="001D3CC6"/>
    <w:rsid w:val="001D3E59"/>
    <w:rsid w:val="001D413E"/>
    <w:rsid w:val="001D4274"/>
    <w:rsid w:val="001D4C9B"/>
    <w:rsid w:val="001D4D39"/>
    <w:rsid w:val="001D4E4C"/>
    <w:rsid w:val="001D5219"/>
    <w:rsid w:val="001D5494"/>
    <w:rsid w:val="001D581C"/>
    <w:rsid w:val="001D5ABB"/>
    <w:rsid w:val="001D5BEC"/>
    <w:rsid w:val="001D5F64"/>
    <w:rsid w:val="001D6621"/>
    <w:rsid w:val="001D7266"/>
    <w:rsid w:val="001D729B"/>
    <w:rsid w:val="001D73BA"/>
    <w:rsid w:val="001D7800"/>
    <w:rsid w:val="001D7A24"/>
    <w:rsid w:val="001E00E9"/>
    <w:rsid w:val="001E08AB"/>
    <w:rsid w:val="001E0C16"/>
    <w:rsid w:val="001E0E5E"/>
    <w:rsid w:val="001E21C7"/>
    <w:rsid w:val="001E266F"/>
    <w:rsid w:val="001E26A7"/>
    <w:rsid w:val="001E285F"/>
    <w:rsid w:val="001E29FB"/>
    <w:rsid w:val="001E2ABE"/>
    <w:rsid w:val="001E3242"/>
    <w:rsid w:val="001E3A56"/>
    <w:rsid w:val="001E3C98"/>
    <w:rsid w:val="001E3D79"/>
    <w:rsid w:val="001E41E8"/>
    <w:rsid w:val="001E4424"/>
    <w:rsid w:val="001E47E4"/>
    <w:rsid w:val="001E49A2"/>
    <w:rsid w:val="001E4CDE"/>
    <w:rsid w:val="001E4CF6"/>
    <w:rsid w:val="001E5431"/>
    <w:rsid w:val="001E5B2F"/>
    <w:rsid w:val="001E5BE4"/>
    <w:rsid w:val="001E6065"/>
    <w:rsid w:val="001E6106"/>
    <w:rsid w:val="001E62BE"/>
    <w:rsid w:val="001E6E0B"/>
    <w:rsid w:val="001E6F6B"/>
    <w:rsid w:val="001E7048"/>
    <w:rsid w:val="001E7126"/>
    <w:rsid w:val="001E73A1"/>
    <w:rsid w:val="001E79F5"/>
    <w:rsid w:val="001E7DE6"/>
    <w:rsid w:val="001E7EAE"/>
    <w:rsid w:val="001E7FB6"/>
    <w:rsid w:val="001F0615"/>
    <w:rsid w:val="001F08A4"/>
    <w:rsid w:val="001F104A"/>
    <w:rsid w:val="001F1290"/>
    <w:rsid w:val="001F1449"/>
    <w:rsid w:val="001F1B79"/>
    <w:rsid w:val="001F1C7C"/>
    <w:rsid w:val="001F1CC3"/>
    <w:rsid w:val="001F1EA8"/>
    <w:rsid w:val="001F1F09"/>
    <w:rsid w:val="001F23B9"/>
    <w:rsid w:val="001F2A4D"/>
    <w:rsid w:val="001F3794"/>
    <w:rsid w:val="001F3975"/>
    <w:rsid w:val="001F4049"/>
    <w:rsid w:val="001F42F3"/>
    <w:rsid w:val="001F4A8B"/>
    <w:rsid w:val="001F4AD9"/>
    <w:rsid w:val="001F4BED"/>
    <w:rsid w:val="001F4DA2"/>
    <w:rsid w:val="001F4E99"/>
    <w:rsid w:val="001F555F"/>
    <w:rsid w:val="001F581D"/>
    <w:rsid w:val="001F59C0"/>
    <w:rsid w:val="001F5AF3"/>
    <w:rsid w:val="001F5AF7"/>
    <w:rsid w:val="001F5E53"/>
    <w:rsid w:val="001F606D"/>
    <w:rsid w:val="001F6227"/>
    <w:rsid w:val="001F634A"/>
    <w:rsid w:val="001F63FA"/>
    <w:rsid w:val="001F6533"/>
    <w:rsid w:val="001F665F"/>
    <w:rsid w:val="001F6BB5"/>
    <w:rsid w:val="001F7921"/>
    <w:rsid w:val="001F7A68"/>
    <w:rsid w:val="001F7F29"/>
    <w:rsid w:val="00200028"/>
    <w:rsid w:val="0020030B"/>
    <w:rsid w:val="00200649"/>
    <w:rsid w:val="00200841"/>
    <w:rsid w:val="00200D2B"/>
    <w:rsid w:val="00200DD9"/>
    <w:rsid w:val="002015D9"/>
    <w:rsid w:val="0020188E"/>
    <w:rsid w:val="002019C3"/>
    <w:rsid w:val="00201A93"/>
    <w:rsid w:val="00201AF3"/>
    <w:rsid w:val="00201B35"/>
    <w:rsid w:val="00201DC7"/>
    <w:rsid w:val="00201E3A"/>
    <w:rsid w:val="00201F18"/>
    <w:rsid w:val="00202461"/>
    <w:rsid w:val="002026E1"/>
    <w:rsid w:val="0020290B"/>
    <w:rsid w:val="0020299F"/>
    <w:rsid w:val="002030CB"/>
    <w:rsid w:val="00203142"/>
    <w:rsid w:val="00203175"/>
    <w:rsid w:val="00203711"/>
    <w:rsid w:val="00203CC6"/>
    <w:rsid w:val="00203E50"/>
    <w:rsid w:val="002046CA"/>
    <w:rsid w:val="00204B60"/>
    <w:rsid w:val="002054EB"/>
    <w:rsid w:val="002055AE"/>
    <w:rsid w:val="002057B2"/>
    <w:rsid w:val="00205ADA"/>
    <w:rsid w:val="00205ADB"/>
    <w:rsid w:val="00205DF3"/>
    <w:rsid w:val="00205F69"/>
    <w:rsid w:val="00206085"/>
    <w:rsid w:val="0020645C"/>
    <w:rsid w:val="00206543"/>
    <w:rsid w:val="0020671F"/>
    <w:rsid w:val="00206AD1"/>
    <w:rsid w:val="00206EDB"/>
    <w:rsid w:val="00207060"/>
    <w:rsid w:val="00207104"/>
    <w:rsid w:val="00207251"/>
    <w:rsid w:val="0020763E"/>
    <w:rsid w:val="002076CF"/>
    <w:rsid w:val="002076F5"/>
    <w:rsid w:val="00207C97"/>
    <w:rsid w:val="00210255"/>
    <w:rsid w:val="0021076F"/>
    <w:rsid w:val="00210ADC"/>
    <w:rsid w:val="00210E5E"/>
    <w:rsid w:val="00210F36"/>
    <w:rsid w:val="002113AF"/>
    <w:rsid w:val="0021150F"/>
    <w:rsid w:val="002119D5"/>
    <w:rsid w:val="00211B03"/>
    <w:rsid w:val="00211DCA"/>
    <w:rsid w:val="00212DB6"/>
    <w:rsid w:val="00212E5C"/>
    <w:rsid w:val="00214CEB"/>
    <w:rsid w:val="00215025"/>
    <w:rsid w:val="0021509D"/>
    <w:rsid w:val="002150FE"/>
    <w:rsid w:val="00215482"/>
    <w:rsid w:val="002154EF"/>
    <w:rsid w:val="00215694"/>
    <w:rsid w:val="00215BB9"/>
    <w:rsid w:val="00215BE6"/>
    <w:rsid w:val="00215F3E"/>
    <w:rsid w:val="00215FC1"/>
    <w:rsid w:val="002161FF"/>
    <w:rsid w:val="0021637A"/>
    <w:rsid w:val="002163AC"/>
    <w:rsid w:val="00216A1D"/>
    <w:rsid w:val="0021703D"/>
    <w:rsid w:val="0021713E"/>
    <w:rsid w:val="002171D4"/>
    <w:rsid w:val="00217581"/>
    <w:rsid w:val="00217745"/>
    <w:rsid w:val="00217B93"/>
    <w:rsid w:val="002204C0"/>
    <w:rsid w:val="0022054E"/>
    <w:rsid w:val="00220696"/>
    <w:rsid w:val="00220A2C"/>
    <w:rsid w:val="00220B50"/>
    <w:rsid w:val="0022141C"/>
    <w:rsid w:val="0022171E"/>
    <w:rsid w:val="00221DEB"/>
    <w:rsid w:val="00222052"/>
    <w:rsid w:val="00222476"/>
    <w:rsid w:val="00222813"/>
    <w:rsid w:val="00222A5A"/>
    <w:rsid w:val="00222B7C"/>
    <w:rsid w:val="00222C7E"/>
    <w:rsid w:val="00222D43"/>
    <w:rsid w:val="00222EF6"/>
    <w:rsid w:val="0022353B"/>
    <w:rsid w:val="00223719"/>
    <w:rsid w:val="00223804"/>
    <w:rsid w:val="002241A0"/>
    <w:rsid w:val="002245D0"/>
    <w:rsid w:val="002246E5"/>
    <w:rsid w:val="00224A4E"/>
    <w:rsid w:val="00224BA3"/>
    <w:rsid w:val="00224BDC"/>
    <w:rsid w:val="00224C36"/>
    <w:rsid w:val="00224F58"/>
    <w:rsid w:val="00225186"/>
    <w:rsid w:val="00225278"/>
    <w:rsid w:val="0022527B"/>
    <w:rsid w:val="0022550C"/>
    <w:rsid w:val="0022586D"/>
    <w:rsid w:val="002258D6"/>
    <w:rsid w:val="00225A49"/>
    <w:rsid w:val="00225B44"/>
    <w:rsid w:val="00225C3C"/>
    <w:rsid w:val="00225DE5"/>
    <w:rsid w:val="00226301"/>
    <w:rsid w:val="00226799"/>
    <w:rsid w:val="00226A6E"/>
    <w:rsid w:val="00226B56"/>
    <w:rsid w:val="00226BE3"/>
    <w:rsid w:val="00226C35"/>
    <w:rsid w:val="00226C74"/>
    <w:rsid w:val="00226D36"/>
    <w:rsid w:val="002270F8"/>
    <w:rsid w:val="0022723F"/>
    <w:rsid w:val="00227301"/>
    <w:rsid w:val="00227315"/>
    <w:rsid w:val="002273AF"/>
    <w:rsid w:val="00227C8E"/>
    <w:rsid w:val="00227F61"/>
    <w:rsid w:val="00230885"/>
    <w:rsid w:val="00230908"/>
    <w:rsid w:val="00230B0E"/>
    <w:rsid w:val="00230EA3"/>
    <w:rsid w:val="00230EA5"/>
    <w:rsid w:val="00230FBE"/>
    <w:rsid w:val="00231249"/>
    <w:rsid w:val="002315C8"/>
    <w:rsid w:val="00231769"/>
    <w:rsid w:val="00231880"/>
    <w:rsid w:val="00231A1B"/>
    <w:rsid w:val="00231DA4"/>
    <w:rsid w:val="00231EF2"/>
    <w:rsid w:val="00232084"/>
    <w:rsid w:val="002323D5"/>
    <w:rsid w:val="00232AA5"/>
    <w:rsid w:val="00232AEF"/>
    <w:rsid w:val="00232B6C"/>
    <w:rsid w:val="00233035"/>
    <w:rsid w:val="002331FF"/>
    <w:rsid w:val="002337B4"/>
    <w:rsid w:val="00233B80"/>
    <w:rsid w:val="00233CD1"/>
    <w:rsid w:val="00233D62"/>
    <w:rsid w:val="00233FBC"/>
    <w:rsid w:val="00234A61"/>
    <w:rsid w:val="00234CD4"/>
    <w:rsid w:val="002350DB"/>
    <w:rsid w:val="0023515A"/>
    <w:rsid w:val="002366C3"/>
    <w:rsid w:val="00236714"/>
    <w:rsid w:val="00236A32"/>
    <w:rsid w:val="0023705E"/>
    <w:rsid w:val="002372E8"/>
    <w:rsid w:val="002379C2"/>
    <w:rsid w:val="00237F63"/>
    <w:rsid w:val="002404FF"/>
    <w:rsid w:val="002409B2"/>
    <w:rsid w:val="00240B0D"/>
    <w:rsid w:val="00241154"/>
    <w:rsid w:val="00241335"/>
    <w:rsid w:val="00241513"/>
    <w:rsid w:val="002418F8"/>
    <w:rsid w:val="0024198C"/>
    <w:rsid w:val="002428FD"/>
    <w:rsid w:val="00242968"/>
    <w:rsid w:val="002436D0"/>
    <w:rsid w:val="00243739"/>
    <w:rsid w:val="00243D0B"/>
    <w:rsid w:val="00244054"/>
    <w:rsid w:val="0024413C"/>
    <w:rsid w:val="00244247"/>
    <w:rsid w:val="00244452"/>
    <w:rsid w:val="00244496"/>
    <w:rsid w:val="0024449A"/>
    <w:rsid w:val="002445CE"/>
    <w:rsid w:val="0024485C"/>
    <w:rsid w:val="00244A3F"/>
    <w:rsid w:val="00244D89"/>
    <w:rsid w:val="0024590E"/>
    <w:rsid w:val="002459DF"/>
    <w:rsid w:val="00245B39"/>
    <w:rsid w:val="002464FB"/>
    <w:rsid w:val="002472FE"/>
    <w:rsid w:val="002473C1"/>
    <w:rsid w:val="002474C6"/>
    <w:rsid w:val="0024752B"/>
    <w:rsid w:val="002478C8"/>
    <w:rsid w:val="00247F00"/>
    <w:rsid w:val="00247F65"/>
    <w:rsid w:val="0025021E"/>
    <w:rsid w:val="002504B9"/>
    <w:rsid w:val="00250574"/>
    <w:rsid w:val="002506ED"/>
    <w:rsid w:val="00250DB8"/>
    <w:rsid w:val="00250EAE"/>
    <w:rsid w:val="00250EB5"/>
    <w:rsid w:val="00250EF5"/>
    <w:rsid w:val="00250EFD"/>
    <w:rsid w:val="002511D8"/>
    <w:rsid w:val="002518C2"/>
    <w:rsid w:val="00251A34"/>
    <w:rsid w:val="00251C5B"/>
    <w:rsid w:val="002525DC"/>
    <w:rsid w:val="00252863"/>
    <w:rsid w:val="00252BE0"/>
    <w:rsid w:val="00252C06"/>
    <w:rsid w:val="00252C23"/>
    <w:rsid w:val="00252EA4"/>
    <w:rsid w:val="0025359C"/>
    <w:rsid w:val="0025370D"/>
    <w:rsid w:val="00253838"/>
    <w:rsid w:val="002538D1"/>
    <w:rsid w:val="002538FB"/>
    <w:rsid w:val="00253938"/>
    <w:rsid w:val="00253BE4"/>
    <w:rsid w:val="00253E51"/>
    <w:rsid w:val="00253F70"/>
    <w:rsid w:val="0025422D"/>
    <w:rsid w:val="00254625"/>
    <w:rsid w:val="002549BE"/>
    <w:rsid w:val="00254B62"/>
    <w:rsid w:val="00254D76"/>
    <w:rsid w:val="00254F93"/>
    <w:rsid w:val="00255440"/>
    <w:rsid w:val="00255450"/>
    <w:rsid w:val="00255CF7"/>
    <w:rsid w:val="00255F42"/>
    <w:rsid w:val="0025620D"/>
    <w:rsid w:val="00256AD1"/>
    <w:rsid w:val="00256CD0"/>
    <w:rsid w:val="00256DB1"/>
    <w:rsid w:val="00256EBE"/>
    <w:rsid w:val="00256FE1"/>
    <w:rsid w:val="0025795A"/>
    <w:rsid w:val="00257B0D"/>
    <w:rsid w:val="00257C3F"/>
    <w:rsid w:val="00257D9B"/>
    <w:rsid w:val="00257E7B"/>
    <w:rsid w:val="0026003F"/>
    <w:rsid w:val="002602FA"/>
    <w:rsid w:val="00260810"/>
    <w:rsid w:val="002608CB"/>
    <w:rsid w:val="00260CF6"/>
    <w:rsid w:val="0026109D"/>
    <w:rsid w:val="002612D3"/>
    <w:rsid w:val="002616B6"/>
    <w:rsid w:val="002616D1"/>
    <w:rsid w:val="00261712"/>
    <w:rsid w:val="00261903"/>
    <w:rsid w:val="002623E5"/>
    <w:rsid w:val="002623F3"/>
    <w:rsid w:val="002625D6"/>
    <w:rsid w:val="002625DD"/>
    <w:rsid w:val="00262719"/>
    <w:rsid w:val="002628E1"/>
    <w:rsid w:val="00262AD3"/>
    <w:rsid w:val="00262E9B"/>
    <w:rsid w:val="00263350"/>
    <w:rsid w:val="00263379"/>
    <w:rsid w:val="002633AA"/>
    <w:rsid w:val="00263428"/>
    <w:rsid w:val="00263516"/>
    <w:rsid w:val="00263658"/>
    <w:rsid w:val="0026376A"/>
    <w:rsid w:val="002638EF"/>
    <w:rsid w:val="00263F18"/>
    <w:rsid w:val="0026401A"/>
    <w:rsid w:val="00264755"/>
    <w:rsid w:val="00264BB8"/>
    <w:rsid w:val="00264DF8"/>
    <w:rsid w:val="00264FB7"/>
    <w:rsid w:val="002650C5"/>
    <w:rsid w:val="002657A4"/>
    <w:rsid w:val="002659B7"/>
    <w:rsid w:val="002659C9"/>
    <w:rsid w:val="002659CF"/>
    <w:rsid w:val="00266585"/>
    <w:rsid w:val="00266A1C"/>
    <w:rsid w:val="00266AF8"/>
    <w:rsid w:val="00266C64"/>
    <w:rsid w:val="00266D35"/>
    <w:rsid w:val="002676F0"/>
    <w:rsid w:val="00267D15"/>
    <w:rsid w:val="002700DD"/>
    <w:rsid w:val="00270182"/>
    <w:rsid w:val="002705C7"/>
    <w:rsid w:val="002707B4"/>
    <w:rsid w:val="002710FD"/>
    <w:rsid w:val="0027144A"/>
    <w:rsid w:val="00271C89"/>
    <w:rsid w:val="0027207D"/>
    <w:rsid w:val="00272080"/>
    <w:rsid w:val="002724AD"/>
    <w:rsid w:val="00272B21"/>
    <w:rsid w:val="00272F16"/>
    <w:rsid w:val="00272F47"/>
    <w:rsid w:val="00272F85"/>
    <w:rsid w:val="00273287"/>
    <w:rsid w:val="002735C9"/>
    <w:rsid w:val="002736D7"/>
    <w:rsid w:val="00273C5C"/>
    <w:rsid w:val="00274034"/>
    <w:rsid w:val="00274164"/>
    <w:rsid w:val="00274C04"/>
    <w:rsid w:val="002750FF"/>
    <w:rsid w:val="00275168"/>
    <w:rsid w:val="00275170"/>
    <w:rsid w:val="002753DF"/>
    <w:rsid w:val="002753F1"/>
    <w:rsid w:val="00275601"/>
    <w:rsid w:val="002756E7"/>
    <w:rsid w:val="00275B33"/>
    <w:rsid w:val="00275B3E"/>
    <w:rsid w:val="00275DCC"/>
    <w:rsid w:val="00276814"/>
    <w:rsid w:val="00276EFB"/>
    <w:rsid w:val="00276F1C"/>
    <w:rsid w:val="00276F5F"/>
    <w:rsid w:val="0027731B"/>
    <w:rsid w:val="0027758E"/>
    <w:rsid w:val="0027785B"/>
    <w:rsid w:val="00277997"/>
    <w:rsid w:val="00277C42"/>
    <w:rsid w:val="00280531"/>
    <w:rsid w:val="0028089B"/>
    <w:rsid w:val="00280BFB"/>
    <w:rsid w:val="00280E72"/>
    <w:rsid w:val="002811A2"/>
    <w:rsid w:val="0028141C"/>
    <w:rsid w:val="00281568"/>
    <w:rsid w:val="0028186F"/>
    <w:rsid w:val="00281B75"/>
    <w:rsid w:val="00281EEA"/>
    <w:rsid w:val="00282269"/>
    <w:rsid w:val="0028253E"/>
    <w:rsid w:val="002828B6"/>
    <w:rsid w:val="00282D0A"/>
    <w:rsid w:val="00282D71"/>
    <w:rsid w:val="00282F0F"/>
    <w:rsid w:val="0028318D"/>
    <w:rsid w:val="002836B1"/>
    <w:rsid w:val="00283710"/>
    <w:rsid w:val="002837EB"/>
    <w:rsid w:val="00283CC6"/>
    <w:rsid w:val="00284997"/>
    <w:rsid w:val="00284ACA"/>
    <w:rsid w:val="00284BAF"/>
    <w:rsid w:val="002857F0"/>
    <w:rsid w:val="00285870"/>
    <w:rsid w:val="002859D8"/>
    <w:rsid w:val="00285AF8"/>
    <w:rsid w:val="00285BE2"/>
    <w:rsid w:val="00285E7B"/>
    <w:rsid w:val="00286098"/>
    <w:rsid w:val="002864C0"/>
    <w:rsid w:val="00286585"/>
    <w:rsid w:val="002866D1"/>
    <w:rsid w:val="00286863"/>
    <w:rsid w:val="0028697A"/>
    <w:rsid w:val="002878FA"/>
    <w:rsid w:val="00287AEC"/>
    <w:rsid w:val="00287FA9"/>
    <w:rsid w:val="002906B8"/>
    <w:rsid w:val="00290B65"/>
    <w:rsid w:val="00290F27"/>
    <w:rsid w:val="0029105A"/>
    <w:rsid w:val="00291122"/>
    <w:rsid w:val="00291362"/>
    <w:rsid w:val="00291745"/>
    <w:rsid w:val="002917F6"/>
    <w:rsid w:val="00292392"/>
    <w:rsid w:val="002929A0"/>
    <w:rsid w:val="00292C71"/>
    <w:rsid w:val="00292D4A"/>
    <w:rsid w:val="002933A6"/>
    <w:rsid w:val="0029373C"/>
    <w:rsid w:val="00293756"/>
    <w:rsid w:val="00293801"/>
    <w:rsid w:val="00293D85"/>
    <w:rsid w:val="00294872"/>
    <w:rsid w:val="00294D4D"/>
    <w:rsid w:val="00294E1E"/>
    <w:rsid w:val="002955FD"/>
    <w:rsid w:val="00295B62"/>
    <w:rsid w:val="002962BB"/>
    <w:rsid w:val="002968EF"/>
    <w:rsid w:val="002975D9"/>
    <w:rsid w:val="0029765F"/>
    <w:rsid w:val="00297A65"/>
    <w:rsid w:val="00297B5F"/>
    <w:rsid w:val="002A0129"/>
    <w:rsid w:val="002A046C"/>
    <w:rsid w:val="002A050C"/>
    <w:rsid w:val="002A07D0"/>
    <w:rsid w:val="002A07D1"/>
    <w:rsid w:val="002A0895"/>
    <w:rsid w:val="002A0931"/>
    <w:rsid w:val="002A0A42"/>
    <w:rsid w:val="002A0AB4"/>
    <w:rsid w:val="002A11CF"/>
    <w:rsid w:val="002A124B"/>
    <w:rsid w:val="002A1C9B"/>
    <w:rsid w:val="002A1E7E"/>
    <w:rsid w:val="002A23D0"/>
    <w:rsid w:val="002A2F3D"/>
    <w:rsid w:val="002A3130"/>
    <w:rsid w:val="002A3292"/>
    <w:rsid w:val="002A35D9"/>
    <w:rsid w:val="002A3F9D"/>
    <w:rsid w:val="002A4A20"/>
    <w:rsid w:val="002A4AC6"/>
    <w:rsid w:val="002A4B99"/>
    <w:rsid w:val="002A4D04"/>
    <w:rsid w:val="002A4DC4"/>
    <w:rsid w:val="002A4E95"/>
    <w:rsid w:val="002A540C"/>
    <w:rsid w:val="002A5512"/>
    <w:rsid w:val="002A5D86"/>
    <w:rsid w:val="002A5D91"/>
    <w:rsid w:val="002A6301"/>
    <w:rsid w:val="002A64DE"/>
    <w:rsid w:val="002A6761"/>
    <w:rsid w:val="002A6926"/>
    <w:rsid w:val="002A6A1D"/>
    <w:rsid w:val="002A6A55"/>
    <w:rsid w:val="002A6B64"/>
    <w:rsid w:val="002A7134"/>
    <w:rsid w:val="002A7204"/>
    <w:rsid w:val="002A772E"/>
    <w:rsid w:val="002A7894"/>
    <w:rsid w:val="002B017D"/>
    <w:rsid w:val="002B04D0"/>
    <w:rsid w:val="002B05C2"/>
    <w:rsid w:val="002B0902"/>
    <w:rsid w:val="002B0944"/>
    <w:rsid w:val="002B0F6A"/>
    <w:rsid w:val="002B13FC"/>
    <w:rsid w:val="002B1A32"/>
    <w:rsid w:val="002B1AA1"/>
    <w:rsid w:val="002B1BE3"/>
    <w:rsid w:val="002B2624"/>
    <w:rsid w:val="002B2F27"/>
    <w:rsid w:val="002B31FF"/>
    <w:rsid w:val="002B3218"/>
    <w:rsid w:val="002B336B"/>
    <w:rsid w:val="002B359F"/>
    <w:rsid w:val="002B3674"/>
    <w:rsid w:val="002B36EC"/>
    <w:rsid w:val="002B3CE6"/>
    <w:rsid w:val="002B3D03"/>
    <w:rsid w:val="002B4068"/>
    <w:rsid w:val="002B434D"/>
    <w:rsid w:val="002B442B"/>
    <w:rsid w:val="002B44C4"/>
    <w:rsid w:val="002B49A9"/>
    <w:rsid w:val="002B4A1B"/>
    <w:rsid w:val="002B4A51"/>
    <w:rsid w:val="002B4C43"/>
    <w:rsid w:val="002B4D1E"/>
    <w:rsid w:val="002B5583"/>
    <w:rsid w:val="002B643E"/>
    <w:rsid w:val="002B7AD0"/>
    <w:rsid w:val="002B7B26"/>
    <w:rsid w:val="002B7DB5"/>
    <w:rsid w:val="002C0192"/>
    <w:rsid w:val="002C01C3"/>
    <w:rsid w:val="002C02E4"/>
    <w:rsid w:val="002C0534"/>
    <w:rsid w:val="002C082F"/>
    <w:rsid w:val="002C0B6D"/>
    <w:rsid w:val="002C0C5C"/>
    <w:rsid w:val="002C0E24"/>
    <w:rsid w:val="002C11AD"/>
    <w:rsid w:val="002C17E0"/>
    <w:rsid w:val="002C1841"/>
    <w:rsid w:val="002C1C92"/>
    <w:rsid w:val="002C1DAC"/>
    <w:rsid w:val="002C1E12"/>
    <w:rsid w:val="002C203F"/>
    <w:rsid w:val="002C214F"/>
    <w:rsid w:val="002C23E9"/>
    <w:rsid w:val="002C24B6"/>
    <w:rsid w:val="002C2C1F"/>
    <w:rsid w:val="002C2C5E"/>
    <w:rsid w:val="002C3AD4"/>
    <w:rsid w:val="002C3F48"/>
    <w:rsid w:val="002C4063"/>
    <w:rsid w:val="002C4081"/>
    <w:rsid w:val="002C4BC5"/>
    <w:rsid w:val="002C4F23"/>
    <w:rsid w:val="002C4F8B"/>
    <w:rsid w:val="002C53D0"/>
    <w:rsid w:val="002C5627"/>
    <w:rsid w:val="002C584E"/>
    <w:rsid w:val="002C5862"/>
    <w:rsid w:val="002C5A91"/>
    <w:rsid w:val="002C5A9B"/>
    <w:rsid w:val="002C5B60"/>
    <w:rsid w:val="002C6021"/>
    <w:rsid w:val="002C6211"/>
    <w:rsid w:val="002C66FB"/>
    <w:rsid w:val="002C7134"/>
    <w:rsid w:val="002C7222"/>
    <w:rsid w:val="002C7233"/>
    <w:rsid w:val="002C7383"/>
    <w:rsid w:val="002C749B"/>
    <w:rsid w:val="002C7501"/>
    <w:rsid w:val="002C7C80"/>
    <w:rsid w:val="002D006E"/>
    <w:rsid w:val="002D0174"/>
    <w:rsid w:val="002D036F"/>
    <w:rsid w:val="002D0F7D"/>
    <w:rsid w:val="002D100B"/>
    <w:rsid w:val="002D13BE"/>
    <w:rsid w:val="002D14A1"/>
    <w:rsid w:val="002D17AD"/>
    <w:rsid w:val="002D19CA"/>
    <w:rsid w:val="002D1A2C"/>
    <w:rsid w:val="002D1B45"/>
    <w:rsid w:val="002D1B4F"/>
    <w:rsid w:val="002D1D96"/>
    <w:rsid w:val="002D1F38"/>
    <w:rsid w:val="002D2416"/>
    <w:rsid w:val="002D26ED"/>
    <w:rsid w:val="002D2B5C"/>
    <w:rsid w:val="002D34A9"/>
    <w:rsid w:val="002D350B"/>
    <w:rsid w:val="002D397E"/>
    <w:rsid w:val="002D3E4E"/>
    <w:rsid w:val="002D4D16"/>
    <w:rsid w:val="002D506F"/>
    <w:rsid w:val="002D5A3B"/>
    <w:rsid w:val="002D5AF2"/>
    <w:rsid w:val="002D647F"/>
    <w:rsid w:val="002D678D"/>
    <w:rsid w:val="002D6BF3"/>
    <w:rsid w:val="002D6E08"/>
    <w:rsid w:val="002D7976"/>
    <w:rsid w:val="002D7B2A"/>
    <w:rsid w:val="002D7C27"/>
    <w:rsid w:val="002D7EAB"/>
    <w:rsid w:val="002E0201"/>
    <w:rsid w:val="002E0338"/>
    <w:rsid w:val="002E04BA"/>
    <w:rsid w:val="002E0E97"/>
    <w:rsid w:val="002E136A"/>
    <w:rsid w:val="002E15EC"/>
    <w:rsid w:val="002E16F9"/>
    <w:rsid w:val="002E1A50"/>
    <w:rsid w:val="002E21B3"/>
    <w:rsid w:val="002E26E7"/>
    <w:rsid w:val="002E2B08"/>
    <w:rsid w:val="002E2BCA"/>
    <w:rsid w:val="002E343C"/>
    <w:rsid w:val="002E386F"/>
    <w:rsid w:val="002E4158"/>
    <w:rsid w:val="002E45C7"/>
    <w:rsid w:val="002E462B"/>
    <w:rsid w:val="002E4A15"/>
    <w:rsid w:val="002E4B37"/>
    <w:rsid w:val="002E4C50"/>
    <w:rsid w:val="002E4DF9"/>
    <w:rsid w:val="002E508F"/>
    <w:rsid w:val="002E52C8"/>
    <w:rsid w:val="002E595A"/>
    <w:rsid w:val="002E611B"/>
    <w:rsid w:val="002E6151"/>
    <w:rsid w:val="002E70F0"/>
    <w:rsid w:val="002E7229"/>
    <w:rsid w:val="002E72BF"/>
    <w:rsid w:val="002E7614"/>
    <w:rsid w:val="002E789B"/>
    <w:rsid w:val="002E7ACE"/>
    <w:rsid w:val="002F040D"/>
    <w:rsid w:val="002F0472"/>
    <w:rsid w:val="002F0A1F"/>
    <w:rsid w:val="002F0E55"/>
    <w:rsid w:val="002F0EA5"/>
    <w:rsid w:val="002F16AA"/>
    <w:rsid w:val="002F189F"/>
    <w:rsid w:val="002F2275"/>
    <w:rsid w:val="002F25E8"/>
    <w:rsid w:val="002F2610"/>
    <w:rsid w:val="002F2680"/>
    <w:rsid w:val="002F300D"/>
    <w:rsid w:val="002F320C"/>
    <w:rsid w:val="002F335E"/>
    <w:rsid w:val="002F3420"/>
    <w:rsid w:val="002F34BB"/>
    <w:rsid w:val="002F35BC"/>
    <w:rsid w:val="002F3ECC"/>
    <w:rsid w:val="002F3F5A"/>
    <w:rsid w:val="002F4027"/>
    <w:rsid w:val="002F42E6"/>
    <w:rsid w:val="002F4DA9"/>
    <w:rsid w:val="002F4EBE"/>
    <w:rsid w:val="002F5439"/>
    <w:rsid w:val="002F5AD3"/>
    <w:rsid w:val="002F5ADA"/>
    <w:rsid w:val="002F5AF4"/>
    <w:rsid w:val="002F5B94"/>
    <w:rsid w:val="002F5D72"/>
    <w:rsid w:val="002F64B8"/>
    <w:rsid w:val="002F65F1"/>
    <w:rsid w:val="002F6743"/>
    <w:rsid w:val="002F680F"/>
    <w:rsid w:val="002F6867"/>
    <w:rsid w:val="002F6A0C"/>
    <w:rsid w:val="002F6DF6"/>
    <w:rsid w:val="002F79AB"/>
    <w:rsid w:val="002F7C90"/>
    <w:rsid w:val="00300032"/>
    <w:rsid w:val="0030063B"/>
    <w:rsid w:val="00300D9E"/>
    <w:rsid w:val="00300F89"/>
    <w:rsid w:val="003010CD"/>
    <w:rsid w:val="003011A1"/>
    <w:rsid w:val="00301229"/>
    <w:rsid w:val="003018AB"/>
    <w:rsid w:val="00302175"/>
    <w:rsid w:val="00302459"/>
    <w:rsid w:val="003025A5"/>
    <w:rsid w:val="00302BFA"/>
    <w:rsid w:val="00302EC3"/>
    <w:rsid w:val="00303112"/>
    <w:rsid w:val="00303244"/>
    <w:rsid w:val="003033DD"/>
    <w:rsid w:val="00303558"/>
    <w:rsid w:val="003037D1"/>
    <w:rsid w:val="00303A32"/>
    <w:rsid w:val="00303B00"/>
    <w:rsid w:val="003041EC"/>
    <w:rsid w:val="0030431A"/>
    <w:rsid w:val="00304F62"/>
    <w:rsid w:val="0030502F"/>
    <w:rsid w:val="003052CB"/>
    <w:rsid w:val="003057F3"/>
    <w:rsid w:val="003059E2"/>
    <w:rsid w:val="00305B85"/>
    <w:rsid w:val="00306054"/>
    <w:rsid w:val="003061CA"/>
    <w:rsid w:val="003062FF"/>
    <w:rsid w:val="003064E9"/>
    <w:rsid w:val="00306535"/>
    <w:rsid w:val="00306981"/>
    <w:rsid w:val="00306DAA"/>
    <w:rsid w:val="0030704D"/>
    <w:rsid w:val="00307B3D"/>
    <w:rsid w:val="00307C81"/>
    <w:rsid w:val="00307E41"/>
    <w:rsid w:val="00311481"/>
    <w:rsid w:val="00311616"/>
    <w:rsid w:val="00311817"/>
    <w:rsid w:val="00311A69"/>
    <w:rsid w:val="00311B1C"/>
    <w:rsid w:val="00311B2E"/>
    <w:rsid w:val="00311D28"/>
    <w:rsid w:val="00312673"/>
    <w:rsid w:val="00312681"/>
    <w:rsid w:val="003127B4"/>
    <w:rsid w:val="00312BAC"/>
    <w:rsid w:val="00312BEF"/>
    <w:rsid w:val="00312D10"/>
    <w:rsid w:val="00312EC8"/>
    <w:rsid w:val="0031313D"/>
    <w:rsid w:val="00313539"/>
    <w:rsid w:val="00313CF7"/>
    <w:rsid w:val="003145C3"/>
    <w:rsid w:val="003147AD"/>
    <w:rsid w:val="00314822"/>
    <w:rsid w:val="00314CB3"/>
    <w:rsid w:val="003155F0"/>
    <w:rsid w:val="00315694"/>
    <w:rsid w:val="0031577A"/>
    <w:rsid w:val="003159C1"/>
    <w:rsid w:val="0031618A"/>
    <w:rsid w:val="0031645B"/>
    <w:rsid w:val="003165E5"/>
    <w:rsid w:val="003165FE"/>
    <w:rsid w:val="00316657"/>
    <w:rsid w:val="00316C40"/>
    <w:rsid w:val="00316F07"/>
    <w:rsid w:val="003170A3"/>
    <w:rsid w:val="0031743D"/>
    <w:rsid w:val="00317773"/>
    <w:rsid w:val="00317D2B"/>
    <w:rsid w:val="00317D65"/>
    <w:rsid w:val="00317E59"/>
    <w:rsid w:val="00317F66"/>
    <w:rsid w:val="0032029A"/>
    <w:rsid w:val="003209F4"/>
    <w:rsid w:val="00320A0D"/>
    <w:rsid w:val="00320A25"/>
    <w:rsid w:val="00320F27"/>
    <w:rsid w:val="0032120C"/>
    <w:rsid w:val="00321289"/>
    <w:rsid w:val="00321B2A"/>
    <w:rsid w:val="00322278"/>
    <w:rsid w:val="003222B1"/>
    <w:rsid w:val="003228E4"/>
    <w:rsid w:val="00322A9A"/>
    <w:rsid w:val="00323A40"/>
    <w:rsid w:val="003241D1"/>
    <w:rsid w:val="0032450C"/>
    <w:rsid w:val="00324585"/>
    <w:rsid w:val="00324CC6"/>
    <w:rsid w:val="00325012"/>
    <w:rsid w:val="003252E0"/>
    <w:rsid w:val="0032533F"/>
    <w:rsid w:val="0032606F"/>
    <w:rsid w:val="0032631F"/>
    <w:rsid w:val="003263C4"/>
    <w:rsid w:val="0032642E"/>
    <w:rsid w:val="003265AB"/>
    <w:rsid w:val="0032703F"/>
    <w:rsid w:val="00327520"/>
    <w:rsid w:val="003277EC"/>
    <w:rsid w:val="00327A73"/>
    <w:rsid w:val="00327DD9"/>
    <w:rsid w:val="00327EF5"/>
    <w:rsid w:val="00327F81"/>
    <w:rsid w:val="003302DF"/>
    <w:rsid w:val="0033043B"/>
    <w:rsid w:val="00330580"/>
    <w:rsid w:val="00330599"/>
    <w:rsid w:val="00330899"/>
    <w:rsid w:val="00330B49"/>
    <w:rsid w:val="00330DF3"/>
    <w:rsid w:val="003311E4"/>
    <w:rsid w:val="003314BB"/>
    <w:rsid w:val="00331757"/>
    <w:rsid w:val="00331849"/>
    <w:rsid w:val="00331D54"/>
    <w:rsid w:val="00331DB3"/>
    <w:rsid w:val="00331F9E"/>
    <w:rsid w:val="0033203D"/>
    <w:rsid w:val="0033210A"/>
    <w:rsid w:val="003324D7"/>
    <w:rsid w:val="0033263E"/>
    <w:rsid w:val="00332A9C"/>
    <w:rsid w:val="0033365E"/>
    <w:rsid w:val="003337C3"/>
    <w:rsid w:val="00333CBE"/>
    <w:rsid w:val="00333D90"/>
    <w:rsid w:val="00333F32"/>
    <w:rsid w:val="00333F8A"/>
    <w:rsid w:val="00334011"/>
    <w:rsid w:val="00334113"/>
    <w:rsid w:val="00334320"/>
    <w:rsid w:val="00334368"/>
    <w:rsid w:val="003345FC"/>
    <w:rsid w:val="00334DAB"/>
    <w:rsid w:val="00334E45"/>
    <w:rsid w:val="00335BFC"/>
    <w:rsid w:val="00335F32"/>
    <w:rsid w:val="00335FCF"/>
    <w:rsid w:val="0033624A"/>
    <w:rsid w:val="00336394"/>
    <w:rsid w:val="0033668B"/>
    <w:rsid w:val="0033679B"/>
    <w:rsid w:val="00336A6D"/>
    <w:rsid w:val="00337076"/>
    <w:rsid w:val="003370D4"/>
    <w:rsid w:val="00337510"/>
    <w:rsid w:val="00337590"/>
    <w:rsid w:val="00337629"/>
    <w:rsid w:val="0033775B"/>
    <w:rsid w:val="00337B56"/>
    <w:rsid w:val="00337E20"/>
    <w:rsid w:val="003404E1"/>
    <w:rsid w:val="0034064E"/>
    <w:rsid w:val="00340A9D"/>
    <w:rsid w:val="00340B15"/>
    <w:rsid w:val="00341146"/>
    <w:rsid w:val="0034128A"/>
    <w:rsid w:val="003412DA"/>
    <w:rsid w:val="00341312"/>
    <w:rsid w:val="00341B1F"/>
    <w:rsid w:val="00342345"/>
    <w:rsid w:val="0034260A"/>
    <w:rsid w:val="00342690"/>
    <w:rsid w:val="00342756"/>
    <w:rsid w:val="00342A0D"/>
    <w:rsid w:val="00342B41"/>
    <w:rsid w:val="00342BE4"/>
    <w:rsid w:val="00342D71"/>
    <w:rsid w:val="0034311B"/>
    <w:rsid w:val="003434C5"/>
    <w:rsid w:val="0034377D"/>
    <w:rsid w:val="00343A79"/>
    <w:rsid w:val="00343E8B"/>
    <w:rsid w:val="00343E9D"/>
    <w:rsid w:val="00344579"/>
    <w:rsid w:val="003445CA"/>
    <w:rsid w:val="003448C3"/>
    <w:rsid w:val="0034491D"/>
    <w:rsid w:val="00344AA1"/>
    <w:rsid w:val="003451D4"/>
    <w:rsid w:val="00345F7E"/>
    <w:rsid w:val="00345FF2"/>
    <w:rsid w:val="003464EC"/>
    <w:rsid w:val="00346C78"/>
    <w:rsid w:val="00346D32"/>
    <w:rsid w:val="00346F3D"/>
    <w:rsid w:val="003473B1"/>
    <w:rsid w:val="0034775F"/>
    <w:rsid w:val="00347E2F"/>
    <w:rsid w:val="003500A1"/>
    <w:rsid w:val="0035096A"/>
    <w:rsid w:val="00350B3E"/>
    <w:rsid w:val="00350D2E"/>
    <w:rsid w:val="0035132D"/>
    <w:rsid w:val="00351856"/>
    <w:rsid w:val="00351AF9"/>
    <w:rsid w:val="00351D76"/>
    <w:rsid w:val="003522B9"/>
    <w:rsid w:val="003528CD"/>
    <w:rsid w:val="003529C7"/>
    <w:rsid w:val="00352C28"/>
    <w:rsid w:val="00352EE8"/>
    <w:rsid w:val="00353289"/>
    <w:rsid w:val="003537A9"/>
    <w:rsid w:val="00353B8A"/>
    <w:rsid w:val="00353C52"/>
    <w:rsid w:val="00353C96"/>
    <w:rsid w:val="00354128"/>
    <w:rsid w:val="003547AF"/>
    <w:rsid w:val="00354DC8"/>
    <w:rsid w:val="00354E82"/>
    <w:rsid w:val="00355005"/>
    <w:rsid w:val="00355860"/>
    <w:rsid w:val="003559E6"/>
    <w:rsid w:val="00356076"/>
    <w:rsid w:val="003560DF"/>
    <w:rsid w:val="0035612C"/>
    <w:rsid w:val="00356404"/>
    <w:rsid w:val="00356B75"/>
    <w:rsid w:val="00357328"/>
    <w:rsid w:val="00357492"/>
    <w:rsid w:val="0035761D"/>
    <w:rsid w:val="00357708"/>
    <w:rsid w:val="00357835"/>
    <w:rsid w:val="00357FBD"/>
    <w:rsid w:val="00360162"/>
    <w:rsid w:val="00360B57"/>
    <w:rsid w:val="00360C7C"/>
    <w:rsid w:val="00360FDF"/>
    <w:rsid w:val="003615BF"/>
    <w:rsid w:val="00361645"/>
    <w:rsid w:val="00361A78"/>
    <w:rsid w:val="00361F11"/>
    <w:rsid w:val="00362045"/>
    <w:rsid w:val="00362317"/>
    <w:rsid w:val="003626F4"/>
    <w:rsid w:val="0036281B"/>
    <w:rsid w:val="00362AB4"/>
    <w:rsid w:val="00363095"/>
    <w:rsid w:val="003632EC"/>
    <w:rsid w:val="003633EA"/>
    <w:rsid w:val="003642D7"/>
    <w:rsid w:val="0036431C"/>
    <w:rsid w:val="00364609"/>
    <w:rsid w:val="0036467F"/>
    <w:rsid w:val="003650B4"/>
    <w:rsid w:val="00365143"/>
    <w:rsid w:val="003655DD"/>
    <w:rsid w:val="0036586B"/>
    <w:rsid w:val="00365BE6"/>
    <w:rsid w:val="00365FB8"/>
    <w:rsid w:val="003665CE"/>
    <w:rsid w:val="00366994"/>
    <w:rsid w:val="00366C86"/>
    <w:rsid w:val="00366E28"/>
    <w:rsid w:val="00367072"/>
    <w:rsid w:val="003678EE"/>
    <w:rsid w:val="00370983"/>
    <w:rsid w:val="0037127E"/>
    <w:rsid w:val="00371349"/>
    <w:rsid w:val="00371674"/>
    <w:rsid w:val="0037186F"/>
    <w:rsid w:val="00371A58"/>
    <w:rsid w:val="00371B6D"/>
    <w:rsid w:val="00371D3D"/>
    <w:rsid w:val="00373425"/>
    <w:rsid w:val="003737F9"/>
    <w:rsid w:val="00373903"/>
    <w:rsid w:val="003739A9"/>
    <w:rsid w:val="003739CA"/>
    <w:rsid w:val="00373D77"/>
    <w:rsid w:val="00373F34"/>
    <w:rsid w:val="0037466B"/>
    <w:rsid w:val="00374920"/>
    <w:rsid w:val="003752E0"/>
    <w:rsid w:val="00375505"/>
    <w:rsid w:val="003757CE"/>
    <w:rsid w:val="00375EC2"/>
    <w:rsid w:val="003765DF"/>
    <w:rsid w:val="00376682"/>
    <w:rsid w:val="003766F9"/>
    <w:rsid w:val="0037674D"/>
    <w:rsid w:val="003769AC"/>
    <w:rsid w:val="00376A1B"/>
    <w:rsid w:val="00376AC7"/>
    <w:rsid w:val="00376B9B"/>
    <w:rsid w:val="00376D27"/>
    <w:rsid w:val="00376FF3"/>
    <w:rsid w:val="00377235"/>
    <w:rsid w:val="003773FF"/>
    <w:rsid w:val="0037755F"/>
    <w:rsid w:val="00377B9A"/>
    <w:rsid w:val="00377FCF"/>
    <w:rsid w:val="003800CF"/>
    <w:rsid w:val="00380B06"/>
    <w:rsid w:val="00380FF7"/>
    <w:rsid w:val="003812DD"/>
    <w:rsid w:val="00381733"/>
    <w:rsid w:val="003817DF"/>
    <w:rsid w:val="003818B5"/>
    <w:rsid w:val="00381974"/>
    <w:rsid w:val="00381B60"/>
    <w:rsid w:val="00382762"/>
    <w:rsid w:val="00382B2F"/>
    <w:rsid w:val="00382D33"/>
    <w:rsid w:val="00383360"/>
    <w:rsid w:val="00383456"/>
    <w:rsid w:val="00383601"/>
    <w:rsid w:val="003836B5"/>
    <w:rsid w:val="003836D7"/>
    <w:rsid w:val="00383726"/>
    <w:rsid w:val="00383D88"/>
    <w:rsid w:val="003841FF"/>
    <w:rsid w:val="00384242"/>
    <w:rsid w:val="00384600"/>
    <w:rsid w:val="00384752"/>
    <w:rsid w:val="00384B4F"/>
    <w:rsid w:val="00385512"/>
    <w:rsid w:val="00385790"/>
    <w:rsid w:val="003858A8"/>
    <w:rsid w:val="003858D8"/>
    <w:rsid w:val="00385A8D"/>
    <w:rsid w:val="00385BF6"/>
    <w:rsid w:val="00385C30"/>
    <w:rsid w:val="00385F51"/>
    <w:rsid w:val="003865E5"/>
    <w:rsid w:val="0038682E"/>
    <w:rsid w:val="00386EC7"/>
    <w:rsid w:val="00387026"/>
    <w:rsid w:val="0038711B"/>
    <w:rsid w:val="00387603"/>
    <w:rsid w:val="003876BA"/>
    <w:rsid w:val="00387780"/>
    <w:rsid w:val="003877BE"/>
    <w:rsid w:val="003878AD"/>
    <w:rsid w:val="00390125"/>
    <w:rsid w:val="00390376"/>
    <w:rsid w:val="00390867"/>
    <w:rsid w:val="00390BBB"/>
    <w:rsid w:val="00390F12"/>
    <w:rsid w:val="003912BF"/>
    <w:rsid w:val="00391A04"/>
    <w:rsid w:val="00391B45"/>
    <w:rsid w:val="00391CB3"/>
    <w:rsid w:val="00391E3F"/>
    <w:rsid w:val="00391FEC"/>
    <w:rsid w:val="0039204F"/>
    <w:rsid w:val="0039209F"/>
    <w:rsid w:val="003925D8"/>
    <w:rsid w:val="00392607"/>
    <w:rsid w:val="00392B6F"/>
    <w:rsid w:val="00392D21"/>
    <w:rsid w:val="00392EB6"/>
    <w:rsid w:val="00393166"/>
    <w:rsid w:val="0039352C"/>
    <w:rsid w:val="0039367B"/>
    <w:rsid w:val="00393B05"/>
    <w:rsid w:val="00393CCC"/>
    <w:rsid w:val="00393FFD"/>
    <w:rsid w:val="00394359"/>
    <w:rsid w:val="00394480"/>
    <w:rsid w:val="00394974"/>
    <w:rsid w:val="00394CD7"/>
    <w:rsid w:val="00394EA3"/>
    <w:rsid w:val="00394EFA"/>
    <w:rsid w:val="00395367"/>
    <w:rsid w:val="00395651"/>
    <w:rsid w:val="00395CFA"/>
    <w:rsid w:val="0039622C"/>
    <w:rsid w:val="0039665C"/>
    <w:rsid w:val="003968EA"/>
    <w:rsid w:val="00396924"/>
    <w:rsid w:val="00396EFF"/>
    <w:rsid w:val="00396F8B"/>
    <w:rsid w:val="003972EE"/>
    <w:rsid w:val="003A0218"/>
    <w:rsid w:val="003A037C"/>
    <w:rsid w:val="003A0429"/>
    <w:rsid w:val="003A0510"/>
    <w:rsid w:val="003A0680"/>
    <w:rsid w:val="003A0F0D"/>
    <w:rsid w:val="003A1392"/>
    <w:rsid w:val="003A1707"/>
    <w:rsid w:val="003A1B70"/>
    <w:rsid w:val="003A1EA6"/>
    <w:rsid w:val="003A26DE"/>
    <w:rsid w:val="003A292E"/>
    <w:rsid w:val="003A3100"/>
    <w:rsid w:val="003A32E4"/>
    <w:rsid w:val="003A36D7"/>
    <w:rsid w:val="003A3839"/>
    <w:rsid w:val="003A3B0F"/>
    <w:rsid w:val="003A3C1C"/>
    <w:rsid w:val="003A46E7"/>
    <w:rsid w:val="003A49C0"/>
    <w:rsid w:val="003A4C1D"/>
    <w:rsid w:val="003A4C74"/>
    <w:rsid w:val="003A4FD8"/>
    <w:rsid w:val="003A5436"/>
    <w:rsid w:val="003A5488"/>
    <w:rsid w:val="003A5AEF"/>
    <w:rsid w:val="003A5BE2"/>
    <w:rsid w:val="003A5C65"/>
    <w:rsid w:val="003A6037"/>
    <w:rsid w:val="003A6117"/>
    <w:rsid w:val="003A619A"/>
    <w:rsid w:val="003A67BC"/>
    <w:rsid w:val="003A683F"/>
    <w:rsid w:val="003A7289"/>
    <w:rsid w:val="003A73FF"/>
    <w:rsid w:val="003A743F"/>
    <w:rsid w:val="003A7827"/>
    <w:rsid w:val="003A78AA"/>
    <w:rsid w:val="003A7BD9"/>
    <w:rsid w:val="003A7F6D"/>
    <w:rsid w:val="003B0338"/>
    <w:rsid w:val="003B095D"/>
    <w:rsid w:val="003B0AD1"/>
    <w:rsid w:val="003B0D38"/>
    <w:rsid w:val="003B0D91"/>
    <w:rsid w:val="003B0E90"/>
    <w:rsid w:val="003B10C9"/>
    <w:rsid w:val="003B1807"/>
    <w:rsid w:val="003B1B99"/>
    <w:rsid w:val="003B1BE9"/>
    <w:rsid w:val="003B235C"/>
    <w:rsid w:val="003B23C4"/>
    <w:rsid w:val="003B252F"/>
    <w:rsid w:val="003B2702"/>
    <w:rsid w:val="003B2BF0"/>
    <w:rsid w:val="003B3EB7"/>
    <w:rsid w:val="003B3EEE"/>
    <w:rsid w:val="003B43F5"/>
    <w:rsid w:val="003B494E"/>
    <w:rsid w:val="003B4985"/>
    <w:rsid w:val="003B4D84"/>
    <w:rsid w:val="003B51DE"/>
    <w:rsid w:val="003B5882"/>
    <w:rsid w:val="003B5B00"/>
    <w:rsid w:val="003B5CA8"/>
    <w:rsid w:val="003B61B2"/>
    <w:rsid w:val="003B625C"/>
    <w:rsid w:val="003B6279"/>
    <w:rsid w:val="003B6398"/>
    <w:rsid w:val="003B6485"/>
    <w:rsid w:val="003B6538"/>
    <w:rsid w:val="003B67B9"/>
    <w:rsid w:val="003B67C5"/>
    <w:rsid w:val="003B6D76"/>
    <w:rsid w:val="003B70AF"/>
    <w:rsid w:val="003B752E"/>
    <w:rsid w:val="003B76E8"/>
    <w:rsid w:val="003B795D"/>
    <w:rsid w:val="003B7998"/>
    <w:rsid w:val="003B7B89"/>
    <w:rsid w:val="003B7E98"/>
    <w:rsid w:val="003B7EAA"/>
    <w:rsid w:val="003B7FDA"/>
    <w:rsid w:val="003C0074"/>
    <w:rsid w:val="003C02B6"/>
    <w:rsid w:val="003C051C"/>
    <w:rsid w:val="003C061F"/>
    <w:rsid w:val="003C0E4D"/>
    <w:rsid w:val="003C1798"/>
    <w:rsid w:val="003C21BE"/>
    <w:rsid w:val="003C22F1"/>
    <w:rsid w:val="003C232B"/>
    <w:rsid w:val="003C23EA"/>
    <w:rsid w:val="003C26DE"/>
    <w:rsid w:val="003C26FC"/>
    <w:rsid w:val="003C27C6"/>
    <w:rsid w:val="003C3460"/>
    <w:rsid w:val="003C34E1"/>
    <w:rsid w:val="003C353D"/>
    <w:rsid w:val="003C35EF"/>
    <w:rsid w:val="003C373E"/>
    <w:rsid w:val="003C3FAA"/>
    <w:rsid w:val="003C431E"/>
    <w:rsid w:val="003C43B0"/>
    <w:rsid w:val="003C4424"/>
    <w:rsid w:val="003C4644"/>
    <w:rsid w:val="003C475A"/>
    <w:rsid w:val="003C4824"/>
    <w:rsid w:val="003C4D58"/>
    <w:rsid w:val="003C5216"/>
    <w:rsid w:val="003C59FC"/>
    <w:rsid w:val="003C5A22"/>
    <w:rsid w:val="003C5BD0"/>
    <w:rsid w:val="003C5EA4"/>
    <w:rsid w:val="003C5F5D"/>
    <w:rsid w:val="003C60C5"/>
    <w:rsid w:val="003C60E4"/>
    <w:rsid w:val="003C6114"/>
    <w:rsid w:val="003C6790"/>
    <w:rsid w:val="003C6957"/>
    <w:rsid w:val="003C6B87"/>
    <w:rsid w:val="003C754A"/>
    <w:rsid w:val="003C7AE8"/>
    <w:rsid w:val="003C7C80"/>
    <w:rsid w:val="003D0002"/>
    <w:rsid w:val="003D06D7"/>
    <w:rsid w:val="003D095B"/>
    <w:rsid w:val="003D0F3B"/>
    <w:rsid w:val="003D0FD1"/>
    <w:rsid w:val="003D19AC"/>
    <w:rsid w:val="003D1C80"/>
    <w:rsid w:val="003D2484"/>
    <w:rsid w:val="003D260A"/>
    <w:rsid w:val="003D2B57"/>
    <w:rsid w:val="003D2F06"/>
    <w:rsid w:val="003D307F"/>
    <w:rsid w:val="003D30F8"/>
    <w:rsid w:val="003D32A8"/>
    <w:rsid w:val="003D34BE"/>
    <w:rsid w:val="003D381D"/>
    <w:rsid w:val="003D38AC"/>
    <w:rsid w:val="003D38E7"/>
    <w:rsid w:val="003D3D83"/>
    <w:rsid w:val="003D401B"/>
    <w:rsid w:val="003D44F0"/>
    <w:rsid w:val="003D46D6"/>
    <w:rsid w:val="003D4D1B"/>
    <w:rsid w:val="003D4F9B"/>
    <w:rsid w:val="003D5698"/>
    <w:rsid w:val="003D5699"/>
    <w:rsid w:val="003D56D6"/>
    <w:rsid w:val="003D58A0"/>
    <w:rsid w:val="003D5AE1"/>
    <w:rsid w:val="003D5BBC"/>
    <w:rsid w:val="003D5C9E"/>
    <w:rsid w:val="003D5F10"/>
    <w:rsid w:val="003D5FCE"/>
    <w:rsid w:val="003D6E59"/>
    <w:rsid w:val="003D6FE8"/>
    <w:rsid w:val="003E0431"/>
    <w:rsid w:val="003E0477"/>
    <w:rsid w:val="003E06DA"/>
    <w:rsid w:val="003E0706"/>
    <w:rsid w:val="003E090D"/>
    <w:rsid w:val="003E0932"/>
    <w:rsid w:val="003E0BD8"/>
    <w:rsid w:val="003E0CB0"/>
    <w:rsid w:val="003E0F2D"/>
    <w:rsid w:val="003E0FB8"/>
    <w:rsid w:val="003E1015"/>
    <w:rsid w:val="003E1062"/>
    <w:rsid w:val="003E1946"/>
    <w:rsid w:val="003E1C33"/>
    <w:rsid w:val="003E1CDB"/>
    <w:rsid w:val="003E1E77"/>
    <w:rsid w:val="003E1F6E"/>
    <w:rsid w:val="003E270A"/>
    <w:rsid w:val="003E3F30"/>
    <w:rsid w:val="003E4565"/>
    <w:rsid w:val="003E4640"/>
    <w:rsid w:val="003E4767"/>
    <w:rsid w:val="003E4C97"/>
    <w:rsid w:val="003E4F91"/>
    <w:rsid w:val="003E5241"/>
    <w:rsid w:val="003E5319"/>
    <w:rsid w:val="003E5670"/>
    <w:rsid w:val="003E56DF"/>
    <w:rsid w:val="003E5CCC"/>
    <w:rsid w:val="003E5ED5"/>
    <w:rsid w:val="003E625F"/>
    <w:rsid w:val="003E681C"/>
    <w:rsid w:val="003E68D6"/>
    <w:rsid w:val="003E6958"/>
    <w:rsid w:val="003E6B10"/>
    <w:rsid w:val="003E703E"/>
    <w:rsid w:val="003E7041"/>
    <w:rsid w:val="003E70DE"/>
    <w:rsid w:val="003E7771"/>
    <w:rsid w:val="003E7A0C"/>
    <w:rsid w:val="003E7A25"/>
    <w:rsid w:val="003E7A58"/>
    <w:rsid w:val="003E7BC2"/>
    <w:rsid w:val="003E7CB9"/>
    <w:rsid w:val="003E7E31"/>
    <w:rsid w:val="003E7EBD"/>
    <w:rsid w:val="003E7FD0"/>
    <w:rsid w:val="003F0244"/>
    <w:rsid w:val="003F02EF"/>
    <w:rsid w:val="003F06C8"/>
    <w:rsid w:val="003F08A7"/>
    <w:rsid w:val="003F0A56"/>
    <w:rsid w:val="003F0B58"/>
    <w:rsid w:val="003F0CD0"/>
    <w:rsid w:val="003F1135"/>
    <w:rsid w:val="003F1142"/>
    <w:rsid w:val="003F12F6"/>
    <w:rsid w:val="003F1469"/>
    <w:rsid w:val="003F16DD"/>
    <w:rsid w:val="003F1789"/>
    <w:rsid w:val="003F1BB2"/>
    <w:rsid w:val="003F1C32"/>
    <w:rsid w:val="003F1DD5"/>
    <w:rsid w:val="003F2325"/>
    <w:rsid w:val="003F2348"/>
    <w:rsid w:val="003F24B6"/>
    <w:rsid w:val="003F27E3"/>
    <w:rsid w:val="003F27F7"/>
    <w:rsid w:val="003F2878"/>
    <w:rsid w:val="003F29BE"/>
    <w:rsid w:val="003F2E0A"/>
    <w:rsid w:val="003F31B1"/>
    <w:rsid w:val="003F31ED"/>
    <w:rsid w:val="003F3893"/>
    <w:rsid w:val="003F3B99"/>
    <w:rsid w:val="003F3CDF"/>
    <w:rsid w:val="003F3D9A"/>
    <w:rsid w:val="003F4309"/>
    <w:rsid w:val="003F432F"/>
    <w:rsid w:val="003F4366"/>
    <w:rsid w:val="003F439C"/>
    <w:rsid w:val="003F440F"/>
    <w:rsid w:val="003F5016"/>
    <w:rsid w:val="003F5034"/>
    <w:rsid w:val="003F5535"/>
    <w:rsid w:val="003F5D6C"/>
    <w:rsid w:val="003F5E2B"/>
    <w:rsid w:val="003F5E3F"/>
    <w:rsid w:val="003F607F"/>
    <w:rsid w:val="003F61C2"/>
    <w:rsid w:val="003F62FC"/>
    <w:rsid w:val="003F681A"/>
    <w:rsid w:val="003F6BA7"/>
    <w:rsid w:val="003F6C27"/>
    <w:rsid w:val="003F6C4E"/>
    <w:rsid w:val="003F6CD8"/>
    <w:rsid w:val="003F773A"/>
    <w:rsid w:val="003F7E97"/>
    <w:rsid w:val="003F7ECF"/>
    <w:rsid w:val="0040017A"/>
    <w:rsid w:val="00400508"/>
    <w:rsid w:val="004005D2"/>
    <w:rsid w:val="004008C0"/>
    <w:rsid w:val="00400F48"/>
    <w:rsid w:val="0040111B"/>
    <w:rsid w:val="004011EA"/>
    <w:rsid w:val="00401892"/>
    <w:rsid w:val="00401928"/>
    <w:rsid w:val="00401A45"/>
    <w:rsid w:val="00401C0F"/>
    <w:rsid w:val="00401CFA"/>
    <w:rsid w:val="00401DAD"/>
    <w:rsid w:val="00401FC3"/>
    <w:rsid w:val="00402A71"/>
    <w:rsid w:val="00402BCD"/>
    <w:rsid w:val="00402EA0"/>
    <w:rsid w:val="00402F74"/>
    <w:rsid w:val="00402FCC"/>
    <w:rsid w:val="004033E7"/>
    <w:rsid w:val="00403449"/>
    <w:rsid w:val="00403C2C"/>
    <w:rsid w:val="004040AA"/>
    <w:rsid w:val="004044E9"/>
    <w:rsid w:val="0040452D"/>
    <w:rsid w:val="004045B7"/>
    <w:rsid w:val="004045CD"/>
    <w:rsid w:val="004045FC"/>
    <w:rsid w:val="0040460B"/>
    <w:rsid w:val="00404661"/>
    <w:rsid w:val="00404987"/>
    <w:rsid w:val="00404989"/>
    <w:rsid w:val="00404AEB"/>
    <w:rsid w:val="00404EEC"/>
    <w:rsid w:val="00405A76"/>
    <w:rsid w:val="0040633B"/>
    <w:rsid w:val="004064A6"/>
    <w:rsid w:val="0040663E"/>
    <w:rsid w:val="0040680C"/>
    <w:rsid w:val="004068FB"/>
    <w:rsid w:val="00406BB6"/>
    <w:rsid w:val="00406C16"/>
    <w:rsid w:val="00406F81"/>
    <w:rsid w:val="004076ED"/>
    <w:rsid w:val="004100B2"/>
    <w:rsid w:val="00410135"/>
    <w:rsid w:val="00410183"/>
    <w:rsid w:val="0041058D"/>
    <w:rsid w:val="0041062F"/>
    <w:rsid w:val="00410F1E"/>
    <w:rsid w:val="004115DB"/>
    <w:rsid w:val="00411707"/>
    <w:rsid w:val="00411CDC"/>
    <w:rsid w:val="00411DA6"/>
    <w:rsid w:val="00412331"/>
    <w:rsid w:val="00412E75"/>
    <w:rsid w:val="004132A0"/>
    <w:rsid w:val="00413475"/>
    <w:rsid w:val="00413487"/>
    <w:rsid w:val="00413588"/>
    <w:rsid w:val="00413730"/>
    <w:rsid w:val="004139B3"/>
    <w:rsid w:val="00413B79"/>
    <w:rsid w:val="004140B1"/>
    <w:rsid w:val="004142E0"/>
    <w:rsid w:val="00414371"/>
    <w:rsid w:val="004144C1"/>
    <w:rsid w:val="00414A88"/>
    <w:rsid w:val="00414CD2"/>
    <w:rsid w:val="00414D0F"/>
    <w:rsid w:val="00415009"/>
    <w:rsid w:val="0041544B"/>
    <w:rsid w:val="004154FD"/>
    <w:rsid w:val="00415537"/>
    <w:rsid w:val="004155EE"/>
    <w:rsid w:val="00415E7F"/>
    <w:rsid w:val="004162F5"/>
    <w:rsid w:val="004168CC"/>
    <w:rsid w:val="00416A49"/>
    <w:rsid w:val="00416A93"/>
    <w:rsid w:val="00416F83"/>
    <w:rsid w:val="0041709B"/>
    <w:rsid w:val="00417309"/>
    <w:rsid w:val="00417A01"/>
    <w:rsid w:val="00417CD7"/>
    <w:rsid w:val="004209C8"/>
    <w:rsid w:val="00420B3B"/>
    <w:rsid w:val="00420E44"/>
    <w:rsid w:val="00421A2E"/>
    <w:rsid w:val="00421A81"/>
    <w:rsid w:val="00421BE8"/>
    <w:rsid w:val="00421C89"/>
    <w:rsid w:val="00421EB6"/>
    <w:rsid w:val="00421ECB"/>
    <w:rsid w:val="00421F2D"/>
    <w:rsid w:val="0042240C"/>
    <w:rsid w:val="00422776"/>
    <w:rsid w:val="004227D4"/>
    <w:rsid w:val="00422809"/>
    <w:rsid w:val="00422C85"/>
    <w:rsid w:val="00423A5F"/>
    <w:rsid w:val="00423A88"/>
    <w:rsid w:val="00423CA5"/>
    <w:rsid w:val="00424474"/>
    <w:rsid w:val="004247B6"/>
    <w:rsid w:val="00424D29"/>
    <w:rsid w:val="00425556"/>
    <w:rsid w:val="00425605"/>
    <w:rsid w:val="0042581C"/>
    <w:rsid w:val="0042589F"/>
    <w:rsid w:val="00425D0C"/>
    <w:rsid w:val="00426121"/>
    <w:rsid w:val="00426208"/>
    <w:rsid w:val="00426546"/>
    <w:rsid w:val="00426726"/>
    <w:rsid w:val="004269BE"/>
    <w:rsid w:val="004269D5"/>
    <w:rsid w:val="00426E1F"/>
    <w:rsid w:val="00427B6D"/>
    <w:rsid w:val="00427B8C"/>
    <w:rsid w:val="00427D63"/>
    <w:rsid w:val="00427F5A"/>
    <w:rsid w:val="0043045B"/>
    <w:rsid w:val="00430F1D"/>
    <w:rsid w:val="004310D4"/>
    <w:rsid w:val="00431786"/>
    <w:rsid w:val="00431B25"/>
    <w:rsid w:val="00431C03"/>
    <w:rsid w:val="00431DC1"/>
    <w:rsid w:val="00431EC3"/>
    <w:rsid w:val="004322FD"/>
    <w:rsid w:val="00432402"/>
    <w:rsid w:val="0043272C"/>
    <w:rsid w:val="004329B8"/>
    <w:rsid w:val="00432DB2"/>
    <w:rsid w:val="00433516"/>
    <w:rsid w:val="004339C5"/>
    <w:rsid w:val="00433B67"/>
    <w:rsid w:val="00434B66"/>
    <w:rsid w:val="00434C24"/>
    <w:rsid w:val="00435027"/>
    <w:rsid w:val="00435067"/>
    <w:rsid w:val="0043536D"/>
    <w:rsid w:val="0043553C"/>
    <w:rsid w:val="00435715"/>
    <w:rsid w:val="004357F5"/>
    <w:rsid w:val="00436384"/>
    <w:rsid w:val="0043647C"/>
    <w:rsid w:val="0043683A"/>
    <w:rsid w:val="00436DD1"/>
    <w:rsid w:val="0043738C"/>
    <w:rsid w:val="004377AA"/>
    <w:rsid w:val="00440DC9"/>
    <w:rsid w:val="00440F64"/>
    <w:rsid w:val="00440FAA"/>
    <w:rsid w:val="00441395"/>
    <w:rsid w:val="0044180C"/>
    <w:rsid w:val="00441960"/>
    <w:rsid w:val="00441C17"/>
    <w:rsid w:val="004421B6"/>
    <w:rsid w:val="00442368"/>
    <w:rsid w:val="0044266D"/>
    <w:rsid w:val="004426C4"/>
    <w:rsid w:val="004426F6"/>
    <w:rsid w:val="004427F6"/>
    <w:rsid w:val="00442AAF"/>
    <w:rsid w:val="00442B68"/>
    <w:rsid w:val="00442BDF"/>
    <w:rsid w:val="00442CBD"/>
    <w:rsid w:val="00443083"/>
    <w:rsid w:val="00443086"/>
    <w:rsid w:val="004433B2"/>
    <w:rsid w:val="004437F0"/>
    <w:rsid w:val="004438C4"/>
    <w:rsid w:val="00443D3B"/>
    <w:rsid w:val="00443E62"/>
    <w:rsid w:val="00443F14"/>
    <w:rsid w:val="00444641"/>
    <w:rsid w:val="0044469D"/>
    <w:rsid w:val="00444973"/>
    <w:rsid w:val="00444CBC"/>
    <w:rsid w:val="00444CE1"/>
    <w:rsid w:val="00445DF2"/>
    <w:rsid w:val="00445F9B"/>
    <w:rsid w:val="0044623D"/>
    <w:rsid w:val="00446783"/>
    <w:rsid w:val="00446932"/>
    <w:rsid w:val="00446DB9"/>
    <w:rsid w:val="00446E9F"/>
    <w:rsid w:val="00447094"/>
    <w:rsid w:val="00447A55"/>
    <w:rsid w:val="00447B8C"/>
    <w:rsid w:val="00447D64"/>
    <w:rsid w:val="00447EFB"/>
    <w:rsid w:val="00450291"/>
    <w:rsid w:val="00450499"/>
    <w:rsid w:val="00450573"/>
    <w:rsid w:val="00450DBE"/>
    <w:rsid w:val="00451091"/>
    <w:rsid w:val="00451334"/>
    <w:rsid w:val="0045190A"/>
    <w:rsid w:val="0045262D"/>
    <w:rsid w:val="00452B0E"/>
    <w:rsid w:val="00452C0E"/>
    <w:rsid w:val="0045301B"/>
    <w:rsid w:val="00453526"/>
    <w:rsid w:val="00453997"/>
    <w:rsid w:val="00453B0C"/>
    <w:rsid w:val="00453F63"/>
    <w:rsid w:val="004544B9"/>
    <w:rsid w:val="00454558"/>
    <w:rsid w:val="00455144"/>
    <w:rsid w:val="00455ACB"/>
    <w:rsid w:val="00455F0E"/>
    <w:rsid w:val="00456257"/>
    <w:rsid w:val="00456311"/>
    <w:rsid w:val="004567AE"/>
    <w:rsid w:val="00456A00"/>
    <w:rsid w:val="00456C3E"/>
    <w:rsid w:val="00456EB6"/>
    <w:rsid w:val="00456F67"/>
    <w:rsid w:val="00457261"/>
    <w:rsid w:val="00457356"/>
    <w:rsid w:val="0045735C"/>
    <w:rsid w:val="004573AF"/>
    <w:rsid w:val="00457440"/>
    <w:rsid w:val="00457B1F"/>
    <w:rsid w:val="00457CEC"/>
    <w:rsid w:val="004602C7"/>
    <w:rsid w:val="00460388"/>
    <w:rsid w:val="004604C6"/>
    <w:rsid w:val="004606C1"/>
    <w:rsid w:val="00460884"/>
    <w:rsid w:val="00460CF1"/>
    <w:rsid w:val="00461065"/>
    <w:rsid w:val="00461220"/>
    <w:rsid w:val="0046146F"/>
    <w:rsid w:val="00462442"/>
    <w:rsid w:val="004629AD"/>
    <w:rsid w:val="00462DFA"/>
    <w:rsid w:val="00462E06"/>
    <w:rsid w:val="00462E52"/>
    <w:rsid w:val="00462F04"/>
    <w:rsid w:val="00463280"/>
    <w:rsid w:val="00463342"/>
    <w:rsid w:val="004634F3"/>
    <w:rsid w:val="00463772"/>
    <w:rsid w:val="004642B3"/>
    <w:rsid w:val="0046432C"/>
    <w:rsid w:val="00464377"/>
    <w:rsid w:val="0046470E"/>
    <w:rsid w:val="004647AB"/>
    <w:rsid w:val="00464D30"/>
    <w:rsid w:val="00464F9E"/>
    <w:rsid w:val="004654B8"/>
    <w:rsid w:val="004654FD"/>
    <w:rsid w:val="0046553C"/>
    <w:rsid w:val="00465893"/>
    <w:rsid w:val="00465B89"/>
    <w:rsid w:val="00466061"/>
    <w:rsid w:val="004660E0"/>
    <w:rsid w:val="00466580"/>
    <w:rsid w:val="004666BB"/>
    <w:rsid w:val="0046690C"/>
    <w:rsid w:val="00466FCE"/>
    <w:rsid w:val="004672E2"/>
    <w:rsid w:val="004673DF"/>
    <w:rsid w:val="00467773"/>
    <w:rsid w:val="0046783C"/>
    <w:rsid w:val="00467853"/>
    <w:rsid w:val="00467D89"/>
    <w:rsid w:val="004703BE"/>
    <w:rsid w:val="004707F6"/>
    <w:rsid w:val="0047088C"/>
    <w:rsid w:val="0047101E"/>
    <w:rsid w:val="00471431"/>
    <w:rsid w:val="0047167A"/>
    <w:rsid w:val="00471852"/>
    <w:rsid w:val="00472030"/>
    <w:rsid w:val="004722E8"/>
    <w:rsid w:val="0047238C"/>
    <w:rsid w:val="0047245D"/>
    <w:rsid w:val="00472606"/>
    <w:rsid w:val="00472643"/>
    <w:rsid w:val="004726F5"/>
    <w:rsid w:val="00472B44"/>
    <w:rsid w:val="00472CEC"/>
    <w:rsid w:val="00472E4F"/>
    <w:rsid w:val="0047309E"/>
    <w:rsid w:val="00473A63"/>
    <w:rsid w:val="00474013"/>
    <w:rsid w:val="004740DC"/>
    <w:rsid w:val="004745BA"/>
    <w:rsid w:val="00474EFF"/>
    <w:rsid w:val="00474FFF"/>
    <w:rsid w:val="0047500A"/>
    <w:rsid w:val="00475242"/>
    <w:rsid w:val="00475430"/>
    <w:rsid w:val="00475CD2"/>
    <w:rsid w:val="00476370"/>
    <w:rsid w:val="00476621"/>
    <w:rsid w:val="00476719"/>
    <w:rsid w:val="00476856"/>
    <w:rsid w:val="00476D90"/>
    <w:rsid w:val="00476EF9"/>
    <w:rsid w:val="004772D8"/>
    <w:rsid w:val="0047751C"/>
    <w:rsid w:val="00477788"/>
    <w:rsid w:val="00477AEC"/>
    <w:rsid w:val="00480681"/>
    <w:rsid w:val="0048075B"/>
    <w:rsid w:val="00480815"/>
    <w:rsid w:val="0048082B"/>
    <w:rsid w:val="00480914"/>
    <w:rsid w:val="00480A9B"/>
    <w:rsid w:val="00480C8F"/>
    <w:rsid w:val="00480D5C"/>
    <w:rsid w:val="00480F32"/>
    <w:rsid w:val="0048114F"/>
    <w:rsid w:val="004812AA"/>
    <w:rsid w:val="00481825"/>
    <w:rsid w:val="00481B33"/>
    <w:rsid w:val="00481D54"/>
    <w:rsid w:val="00481FCB"/>
    <w:rsid w:val="0048212B"/>
    <w:rsid w:val="004828CE"/>
    <w:rsid w:val="00482A53"/>
    <w:rsid w:val="00482BFF"/>
    <w:rsid w:val="00483299"/>
    <w:rsid w:val="004839AA"/>
    <w:rsid w:val="00483B87"/>
    <w:rsid w:val="00483C44"/>
    <w:rsid w:val="00483CCB"/>
    <w:rsid w:val="00484444"/>
    <w:rsid w:val="00484699"/>
    <w:rsid w:val="0048498C"/>
    <w:rsid w:val="004849DA"/>
    <w:rsid w:val="00484AEE"/>
    <w:rsid w:val="00484B8C"/>
    <w:rsid w:val="0048526C"/>
    <w:rsid w:val="004858C0"/>
    <w:rsid w:val="00485B41"/>
    <w:rsid w:val="00485E2B"/>
    <w:rsid w:val="00486056"/>
    <w:rsid w:val="0048610A"/>
    <w:rsid w:val="0048621D"/>
    <w:rsid w:val="004862FF"/>
    <w:rsid w:val="00486839"/>
    <w:rsid w:val="0048691D"/>
    <w:rsid w:val="00486DD6"/>
    <w:rsid w:val="00486E23"/>
    <w:rsid w:val="00487136"/>
    <w:rsid w:val="004875DE"/>
    <w:rsid w:val="004879FB"/>
    <w:rsid w:val="00487C16"/>
    <w:rsid w:val="00487D3D"/>
    <w:rsid w:val="004901C4"/>
    <w:rsid w:val="004901D3"/>
    <w:rsid w:val="00490283"/>
    <w:rsid w:val="00490522"/>
    <w:rsid w:val="00490669"/>
    <w:rsid w:val="0049078E"/>
    <w:rsid w:val="00490942"/>
    <w:rsid w:val="00490D4E"/>
    <w:rsid w:val="00490E27"/>
    <w:rsid w:val="00490F75"/>
    <w:rsid w:val="004914C7"/>
    <w:rsid w:val="0049177A"/>
    <w:rsid w:val="00491AC6"/>
    <w:rsid w:val="00491CD5"/>
    <w:rsid w:val="00491E07"/>
    <w:rsid w:val="00492AD4"/>
    <w:rsid w:val="00492B55"/>
    <w:rsid w:val="00492BA6"/>
    <w:rsid w:val="0049386A"/>
    <w:rsid w:val="0049388A"/>
    <w:rsid w:val="004939A6"/>
    <w:rsid w:val="00493C62"/>
    <w:rsid w:val="00493F2C"/>
    <w:rsid w:val="004942BC"/>
    <w:rsid w:val="00494434"/>
    <w:rsid w:val="00494AA6"/>
    <w:rsid w:val="004956C1"/>
    <w:rsid w:val="004956D9"/>
    <w:rsid w:val="004958CB"/>
    <w:rsid w:val="00495AF8"/>
    <w:rsid w:val="00495FC2"/>
    <w:rsid w:val="004964BE"/>
    <w:rsid w:val="00496CFD"/>
    <w:rsid w:val="00497332"/>
    <w:rsid w:val="004975C0"/>
    <w:rsid w:val="004975E3"/>
    <w:rsid w:val="00497AA5"/>
    <w:rsid w:val="00497B4D"/>
    <w:rsid w:val="004A0150"/>
    <w:rsid w:val="004A023B"/>
    <w:rsid w:val="004A0295"/>
    <w:rsid w:val="004A081B"/>
    <w:rsid w:val="004A0BAC"/>
    <w:rsid w:val="004A0C26"/>
    <w:rsid w:val="004A11A2"/>
    <w:rsid w:val="004A11EA"/>
    <w:rsid w:val="004A14F9"/>
    <w:rsid w:val="004A16A2"/>
    <w:rsid w:val="004A1B6E"/>
    <w:rsid w:val="004A1EB2"/>
    <w:rsid w:val="004A2312"/>
    <w:rsid w:val="004A24C6"/>
    <w:rsid w:val="004A2AFD"/>
    <w:rsid w:val="004A3243"/>
    <w:rsid w:val="004A3C44"/>
    <w:rsid w:val="004A40C9"/>
    <w:rsid w:val="004A410E"/>
    <w:rsid w:val="004A46A1"/>
    <w:rsid w:val="004A4C29"/>
    <w:rsid w:val="004A4DA8"/>
    <w:rsid w:val="004A4DF5"/>
    <w:rsid w:val="004A5223"/>
    <w:rsid w:val="004A53D1"/>
    <w:rsid w:val="004A5B72"/>
    <w:rsid w:val="004A5C9B"/>
    <w:rsid w:val="004A5DDF"/>
    <w:rsid w:val="004A65A5"/>
    <w:rsid w:val="004A6F56"/>
    <w:rsid w:val="004A6F7C"/>
    <w:rsid w:val="004A6FE4"/>
    <w:rsid w:val="004A74F9"/>
    <w:rsid w:val="004A75BC"/>
    <w:rsid w:val="004A7924"/>
    <w:rsid w:val="004A7B38"/>
    <w:rsid w:val="004B00A9"/>
    <w:rsid w:val="004B0BE4"/>
    <w:rsid w:val="004B0BEA"/>
    <w:rsid w:val="004B1000"/>
    <w:rsid w:val="004B1015"/>
    <w:rsid w:val="004B1048"/>
    <w:rsid w:val="004B11A8"/>
    <w:rsid w:val="004B2046"/>
    <w:rsid w:val="004B20F5"/>
    <w:rsid w:val="004B2266"/>
    <w:rsid w:val="004B2758"/>
    <w:rsid w:val="004B2848"/>
    <w:rsid w:val="004B2AB6"/>
    <w:rsid w:val="004B2BF1"/>
    <w:rsid w:val="004B2DF8"/>
    <w:rsid w:val="004B2EB2"/>
    <w:rsid w:val="004B328E"/>
    <w:rsid w:val="004B3311"/>
    <w:rsid w:val="004B344A"/>
    <w:rsid w:val="004B3896"/>
    <w:rsid w:val="004B3A8A"/>
    <w:rsid w:val="004B3ADB"/>
    <w:rsid w:val="004B3E18"/>
    <w:rsid w:val="004B3EEA"/>
    <w:rsid w:val="004B41D6"/>
    <w:rsid w:val="004B46FA"/>
    <w:rsid w:val="004B48F4"/>
    <w:rsid w:val="004B4941"/>
    <w:rsid w:val="004B4AF6"/>
    <w:rsid w:val="004B4C8C"/>
    <w:rsid w:val="004B518D"/>
    <w:rsid w:val="004B5603"/>
    <w:rsid w:val="004B5B89"/>
    <w:rsid w:val="004B5BA5"/>
    <w:rsid w:val="004B5EF6"/>
    <w:rsid w:val="004B6899"/>
    <w:rsid w:val="004B6A81"/>
    <w:rsid w:val="004B6C06"/>
    <w:rsid w:val="004B76A0"/>
    <w:rsid w:val="004B7860"/>
    <w:rsid w:val="004B7894"/>
    <w:rsid w:val="004B7E06"/>
    <w:rsid w:val="004C0445"/>
    <w:rsid w:val="004C049C"/>
    <w:rsid w:val="004C060A"/>
    <w:rsid w:val="004C0B41"/>
    <w:rsid w:val="004C1040"/>
    <w:rsid w:val="004C1187"/>
    <w:rsid w:val="004C1614"/>
    <w:rsid w:val="004C169C"/>
    <w:rsid w:val="004C18F9"/>
    <w:rsid w:val="004C1A4B"/>
    <w:rsid w:val="004C1EC1"/>
    <w:rsid w:val="004C26AA"/>
    <w:rsid w:val="004C2B6A"/>
    <w:rsid w:val="004C3088"/>
    <w:rsid w:val="004C329F"/>
    <w:rsid w:val="004C3990"/>
    <w:rsid w:val="004C3E49"/>
    <w:rsid w:val="004C4060"/>
    <w:rsid w:val="004C43F1"/>
    <w:rsid w:val="004C4995"/>
    <w:rsid w:val="004C4E77"/>
    <w:rsid w:val="004C4FF2"/>
    <w:rsid w:val="004C501B"/>
    <w:rsid w:val="004C5285"/>
    <w:rsid w:val="004C5715"/>
    <w:rsid w:val="004C5A8F"/>
    <w:rsid w:val="004C5F91"/>
    <w:rsid w:val="004C661E"/>
    <w:rsid w:val="004C6BA5"/>
    <w:rsid w:val="004C6F58"/>
    <w:rsid w:val="004C72FC"/>
    <w:rsid w:val="004C7515"/>
    <w:rsid w:val="004C790D"/>
    <w:rsid w:val="004C7AB4"/>
    <w:rsid w:val="004C7DE8"/>
    <w:rsid w:val="004C7E9E"/>
    <w:rsid w:val="004D0280"/>
    <w:rsid w:val="004D09BD"/>
    <w:rsid w:val="004D1255"/>
    <w:rsid w:val="004D2A7F"/>
    <w:rsid w:val="004D3657"/>
    <w:rsid w:val="004D40DE"/>
    <w:rsid w:val="004D42DE"/>
    <w:rsid w:val="004D4500"/>
    <w:rsid w:val="004D4938"/>
    <w:rsid w:val="004D4F55"/>
    <w:rsid w:val="004D5272"/>
    <w:rsid w:val="004D564F"/>
    <w:rsid w:val="004D5DF6"/>
    <w:rsid w:val="004D6364"/>
    <w:rsid w:val="004D64A9"/>
    <w:rsid w:val="004D6B6A"/>
    <w:rsid w:val="004D70BF"/>
    <w:rsid w:val="004D7A05"/>
    <w:rsid w:val="004D7F87"/>
    <w:rsid w:val="004E04E3"/>
    <w:rsid w:val="004E0650"/>
    <w:rsid w:val="004E0E68"/>
    <w:rsid w:val="004E0EEB"/>
    <w:rsid w:val="004E113C"/>
    <w:rsid w:val="004E1173"/>
    <w:rsid w:val="004E11E5"/>
    <w:rsid w:val="004E13D7"/>
    <w:rsid w:val="004E147E"/>
    <w:rsid w:val="004E2137"/>
    <w:rsid w:val="004E21E7"/>
    <w:rsid w:val="004E2602"/>
    <w:rsid w:val="004E280C"/>
    <w:rsid w:val="004E2D89"/>
    <w:rsid w:val="004E2F2C"/>
    <w:rsid w:val="004E306E"/>
    <w:rsid w:val="004E347D"/>
    <w:rsid w:val="004E3FB3"/>
    <w:rsid w:val="004E4175"/>
    <w:rsid w:val="004E4588"/>
    <w:rsid w:val="004E472D"/>
    <w:rsid w:val="004E48D0"/>
    <w:rsid w:val="004E4ACB"/>
    <w:rsid w:val="004E4ECA"/>
    <w:rsid w:val="004E5179"/>
    <w:rsid w:val="004E52B4"/>
    <w:rsid w:val="004E5685"/>
    <w:rsid w:val="004E59A1"/>
    <w:rsid w:val="004E5F96"/>
    <w:rsid w:val="004E64C0"/>
    <w:rsid w:val="004E662F"/>
    <w:rsid w:val="004E6C1B"/>
    <w:rsid w:val="004E71DA"/>
    <w:rsid w:val="004E7463"/>
    <w:rsid w:val="004E7682"/>
    <w:rsid w:val="004E7691"/>
    <w:rsid w:val="004E7761"/>
    <w:rsid w:val="004E7A62"/>
    <w:rsid w:val="004E7E0B"/>
    <w:rsid w:val="004E7FB5"/>
    <w:rsid w:val="004F00B1"/>
    <w:rsid w:val="004F0BBB"/>
    <w:rsid w:val="004F0F32"/>
    <w:rsid w:val="004F0F3D"/>
    <w:rsid w:val="004F11A7"/>
    <w:rsid w:val="004F131B"/>
    <w:rsid w:val="004F1981"/>
    <w:rsid w:val="004F22ED"/>
    <w:rsid w:val="004F259B"/>
    <w:rsid w:val="004F2BDC"/>
    <w:rsid w:val="004F3060"/>
    <w:rsid w:val="004F3120"/>
    <w:rsid w:val="004F3988"/>
    <w:rsid w:val="004F3A50"/>
    <w:rsid w:val="004F3C6B"/>
    <w:rsid w:val="004F488C"/>
    <w:rsid w:val="004F4BF4"/>
    <w:rsid w:val="004F4E3C"/>
    <w:rsid w:val="004F56DC"/>
    <w:rsid w:val="004F60C2"/>
    <w:rsid w:val="004F63DE"/>
    <w:rsid w:val="004F6571"/>
    <w:rsid w:val="004F6A0C"/>
    <w:rsid w:val="004F71FB"/>
    <w:rsid w:val="004F7549"/>
    <w:rsid w:val="004F7C07"/>
    <w:rsid w:val="004F7F4C"/>
    <w:rsid w:val="0050008D"/>
    <w:rsid w:val="005000CF"/>
    <w:rsid w:val="0050023B"/>
    <w:rsid w:val="005002F3"/>
    <w:rsid w:val="00500C6D"/>
    <w:rsid w:val="00500D25"/>
    <w:rsid w:val="00500D34"/>
    <w:rsid w:val="00500D76"/>
    <w:rsid w:val="00501070"/>
    <w:rsid w:val="005013AD"/>
    <w:rsid w:val="00501434"/>
    <w:rsid w:val="005014B2"/>
    <w:rsid w:val="005017ED"/>
    <w:rsid w:val="005017FB"/>
    <w:rsid w:val="00502106"/>
    <w:rsid w:val="00502326"/>
    <w:rsid w:val="0050244E"/>
    <w:rsid w:val="00502E4A"/>
    <w:rsid w:val="00503010"/>
    <w:rsid w:val="00503380"/>
    <w:rsid w:val="00503878"/>
    <w:rsid w:val="00503E0E"/>
    <w:rsid w:val="00503E1E"/>
    <w:rsid w:val="00504129"/>
    <w:rsid w:val="00504520"/>
    <w:rsid w:val="00504C71"/>
    <w:rsid w:val="00504E60"/>
    <w:rsid w:val="005052C3"/>
    <w:rsid w:val="00505837"/>
    <w:rsid w:val="00505A4E"/>
    <w:rsid w:val="00505ABB"/>
    <w:rsid w:val="00506062"/>
    <w:rsid w:val="005061C0"/>
    <w:rsid w:val="0050629B"/>
    <w:rsid w:val="005066F5"/>
    <w:rsid w:val="00506824"/>
    <w:rsid w:val="00506C7B"/>
    <w:rsid w:val="00506FE5"/>
    <w:rsid w:val="00507391"/>
    <w:rsid w:val="0050764A"/>
    <w:rsid w:val="00507B21"/>
    <w:rsid w:val="00507EC6"/>
    <w:rsid w:val="00507FBC"/>
    <w:rsid w:val="0051080F"/>
    <w:rsid w:val="00510895"/>
    <w:rsid w:val="00510A96"/>
    <w:rsid w:val="00510DF1"/>
    <w:rsid w:val="0051147C"/>
    <w:rsid w:val="00511A8B"/>
    <w:rsid w:val="00511DEE"/>
    <w:rsid w:val="00511F91"/>
    <w:rsid w:val="00512929"/>
    <w:rsid w:val="00512A54"/>
    <w:rsid w:val="00514193"/>
    <w:rsid w:val="00514675"/>
    <w:rsid w:val="005147C1"/>
    <w:rsid w:val="00514809"/>
    <w:rsid w:val="00514AFB"/>
    <w:rsid w:val="00514C94"/>
    <w:rsid w:val="00514EE7"/>
    <w:rsid w:val="00515224"/>
    <w:rsid w:val="0051584D"/>
    <w:rsid w:val="00515AA4"/>
    <w:rsid w:val="00515EBC"/>
    <w:rsid w:val="00516594"/>
    <w:rsid w:val="00516994"/>
    <w:rsid w:val="00516AD7"/>
    <w:rsid w:val="00516BCA"/>
    <w:rsid w:val="0051733A"/>
    <w:rsid w:val="005173B8"/>
    <w:rsid w:val="005176CC"/>
    <w:rsid w:val="005177D6"/>
    <w:rsid w:val="00517E45"/>
    <w:rsid w:val="00517FE0"/>
    <w:rsid w:val="005207BD"/>
    <w:rsid w:val="00520E4B"/>
    <w:rsid w:val="00521064"/>
    <w:rsid w:val="005211C5"/>
    <w:rsid w:val="00521AFD"/>
    <w:rsid w:val="00521CDA"/>
    <w:rsid w:val="00521F7C"/>
    <w:rsid w:val="00522110"/>
    <w:rsid w:val="0052222F"/>
    <w:rsid w:val="0052223B"/>
    <w:rsid w:val="00522507"/>
    <w:rsid w:val="005226C4"/>
    <w:rsid w:val="0052332B"/>
    <w:rsid w:val="00523466"/>
    <w:rsid w:val="005238EA"/>
    <w:rsid w:val="00523FDD"/>
    <w:rsid w:val="005244A7"/>
    <w:rsid w:val="00524784"/>
    <w:rsid w:val="0052485F"/>
    <w:rsid w:val="005249BF"/>
    <w:rsid w:val="00524C20"/>
    <w:rsid w:val="00524D61"/>
    <w:rsid w:val="00524F56"/>
    <w:rsid w:val="00524F6B"/>
    <w:rsid w:val="00524FD9"/>
    <w:rsid w:val="0052502A"/>
    <w:rsid w:val="0052502F"/>
    <w:rsid w:val="00525749"/>
    <w:rsid w:val="00525BF9"/>
    <w:rsid w:val="00525CB5"/>
    <w:rsid w:val="00525D07"/>
    <w:rsid w:val="00525F3A"/>
    <w:rsid w:val="005262C0"/>
    <w:rsid w:val="0052632D"/>
    <w:rsid w:val="00526368"/>
    <w:rsid w:val="00526392"/>
    <w:rsid w:val="0052649C"/>
    <w:rsid w:val="005270D4"/>
    <w:rsid w:val="0052753A"/>
    <w:rsid w:val="005278A5"/>
    <w:rsid w:val="005279A5"/>
    <w:rsid w:val="00527B8F"/>
    <w:rsid w:val="00527E4B"/>
    <w:rsid w:val="00530095"/>
    <w:rsid w:val="005308D7"/>
    <w:rsid w:val="00530CDD"/>
    <w:rsid w:val="00530FEE"/>
    <w:rsid w:val="0053164D"/>
    <w:rsid w:val="005317DF"/>
    <w:rsid w:val="005321FB"/>
    <w:rsid w:val="00532565"/>
    <w:rsid w:val="00532782"/>
    <w:rsid w:val="00532D7F"/>
    <w:rsid w:val="00532E04"/>
    <w:rsid w:val="00532E47"/>
    <w:rsid w:val="00532E52"/>
    <w:rsid w:val="005331EE"/>
    <w:rsid w:val="0053320E"/>
    <w:rsid w:val="00533582"/>
    <w:rsid w:val="00533608"/>
    <w:rsid w:val="005339C7"/>
    <w:rsid w:val="00533E6E"/>
    <w:rsid w:val="00533ED7"/>
    <w:rsid w:val="00534410"/>
    <w:rsid w:val="005348BD"/>
    <w:rsid w:val="00534D9B"/>
    <w:rsid w:val="00534F6E"/>
    <w:rsid w:val="00535191"/>
    <w:rsid w:val="005355FA"/>
    <w:rsid w:val="0053565C"/>
    <w:rsid w:val="005360CD"/>
    <w:rsid w:val="0053639A"/>
    <w:rsid w:val="005365B5"/>
    <w:rsid w:val="00536711"/>
    <w:rsid w:val="00536871"/>
    <w:rsid w:val="00536A18"/>
    <w:rsid w:val="00536DBF"/>
    <w:rsid w:val="00537137"/>
    <w:rsid w:val="0053717B"/>
    <w:rsid w:val="0053782C"/>
    <w:rsid w:val="00537A1B"/>
    <w:rsid w:val="00540735"/>
    <w:rsid w:val="005409E5"/>
    <w:rsid w:val="00540DF3"/>
    <w:rsid w:val="00541702"/>
    <w:rsid w:val="00541851"/>
    <w:rsid w:val="00541B05"/>
    <w:rsid w:val="00541BF4"/>
    <w:rsid w:val="00542B60"/>
    <w:rsid w:val="00542EC3"/>
    <w:rsid w:val="00542EDA"/>
    <w:rsid w:val="005430F3"/>
    <w:rsid w:val="00543362"/>
    <w:rsid w:val="005435E8"/>
    <w:rsid w:val="005438EE"/>
    <w:rsid w:val="005439B1"/>
    <w:rsid w:val="00543C32"/>
    <w:rsid w:val="00544092"/>
    <w:rsid w:val="00544D81"/>
    <w:rsid w:val="0054538A"/>
    <w:rsid w:val="005455A6"/>
    <w:rsid w:val="00545936"/>
    <w:rsid w:val="0054597B"/>
    <w:rsid w:val="00545AA2"/>
    <w:rsid w:val="00545F69"/>
    <w:rsid w:val="00545FAD"/>
    <w:rsid w:val="00546313"/>
    <w:rsid w:val="00546E56"/>
    <w:rsid w:val="005471A1"/>
    <w:rsid w:val="005475BC"/>
    <w:rsid w:val="005475DD"/>
    <w:rsid w:val="005477F6"/>
    <w:rsid w:val="00547E08"/>
    <w:rsid w:val="00547FC6"/>
    <w:rsid w:val="00547FFA"/>
    <w:rsid w:val="005500BF"/>
    <w:rsid w:val="00550797"/>
    <w:rsid w:val="005508F0"/>
    <w:rsid w:val="005509AA"/>
    <w:rsid w:val="00550C37"/>
    <w:rsid w:val="00550FBA"/>
    <w:rsid w:val="005510AA"/>
    <w:rsid w:val="00551191"/>
    <w:rsid w:val="0055155B"/>
    <w:rsid w:val="005518CD"/>
    <w:rsid w:val="00551B27"/>
    <w:rsid w:val="00551D35"/>
    <w:rsid w:val="00551EE5"/>
    <w:rsid w:val="005520CD"/>
    <w:rsid w:val="005520E8"/>
    <w:rsid w:val="00552167"/>
    <w:rsid w:val="0055216A"/>
    <w:rsid w:val="00552641"/>
    <w:rsid w:val="00552771"/>
    <w:rsid w:val="00552774"/>
    <w:rsid w:val="005529BC"/>
    <w:rsid w:val="00552C8F"/>
    <w:rsid w:val="00553293"/>
    <w:rsid w:val="005532F8"/>
    <w:rsid w:val="00553532"/>
    <w:rsid w:val="005535AF"/>
    <w:rsid w:val="00553830"/>
    <w:rsid w:val="005538FB"/>
    <w:rsid w:val="00553C32"/>
    <w:rsid w:val="00553DC0"/>
    <w:rsid w:val="00553F07"/>
    <w:rsid w:val="00554274"/>
    <w:rsid w:val="005549FE"/>
    <w:rsid w:val="00554A5F"/>
    <w:rsid w:val="005552FE"/>
    <w:rsid w:val="005557B0"/>
    <w:rsid w:val="005557C0"/>
    <w:rsid w:val="00555F4C"/>
    <w:rsid w:val="00555F9B"/>
    <w:rsid w:val="00556068"/>
    <w:rsid w:val="00556134"/>
    <w:rsid w:val="005563F9"/>
    <w:rsid w:val="005564D6"/>
    <w:rsid w:val="005567D0"/>
    <w:rsid w:val="005568AF"/>
    <w:rsid w:val="00556A48"/>
    <w:rsid w:val="00556C87"/>
    <w:rsid w:val="0055718E"/>
    <w:rsid w:val="005571E2"/>
    <w:rsid w:val="00557800"/>
    <w:rsid w:val="005578D1"/>
    <w:rsid w:val="00557ACC"/>
    <w:rsid w:val="00557C20"/>
    <w:rsid w:val="00557CE3"/>
    <w:rsid w:val="00557F77"/>
    <w:rsid w:val="00560ADA"/>
    <w:rsid w:val="00560E4C"/>
    <w:rsid w:val="00561079"/>
    <w:rsid w:val="005613FD"/>
    <w:rsid w:val="00561534"/>
    <w:rsid w:val="005615C4"/>
    <w:rsid w:val="0056162B"/>
    <w:rsid w:val="0056176F"/>
    <w:rsid w:val="005617F8"/>
    <w:rsid w:val="00561EEE"/>
    <w:rsid w:val="005621F1"/>
    <w:rsid w:val="005622D2"/>
    <w:rsid w:val="00562368"/>
    <w:rsid w:val="005623FD"/>
    <w:rsid w:val="00562413"/>
    <w:rsid w:val="00562561"/>
    <w:rsid w:val="0056277A"/>
    <w:rsid w:val="0056365C"/>
    <w:rsid w:val="00563819"/>
    <w:rsid w:val="0056386A"/>
    <w:rsid w:val="00563A92"/>
    <w:rsid w:val="00563E6D"/>
    <w:rsid w:val="00564071"/>
    <w:rsid w:val="00564BEE"/>
    <w:rsid w:val="00564C62"/>
    <w:rsid w:val="0056535F"/>
    <w:rsid w:val="005657D6"/>
    <w:rsid w:val="00565A5A"/>
    <w:rsid w:val="00566A3C"/>
    <w:rsid w:val="00566BEC"/>
    <w:rsid w:val="00566D5E"/>
    <w:rsid w:val="00566E0A"/>
    <w:rsid w:val="00567AC3"/>
    <w:rsid w:val="00567D90"/>
    <w:rsid w:val="00567DB9"/>
    <w:rsid w:val="00567DDD"/>
    <w:rsid w:val="00570722"/>
    <w:rsid w:val="00570AB2"/>
    <w:rsid w:val="00570CD9"/>
    <w:rsid w:val="00571586"/>
    <w:rsid w:val="00571883"/>
    <w:rsid w:val="00571A28"/>
    <w:rsid w:val="00571BE2"/>
    <w:rsid w:val="0057283B"/>
    <w:rsid w:val="005730EC"/>
    <w:rsid w:val="0057376C"/>
    <w:rsid w:val="00573885"/>
    <w:rsid w:val="0057391D"/>
    <w:rsid w:val="00573D39"/>
    <w:rsid w:val="00573E4E"/>
    <w:rsid w:val="0057459A"/>
    <w:rsid w:val="005745C6"/>
    <w:rsid w:val="00574E17"/>
    <w:rsid w:val="00574E2D"/>
    <w:rsid w:val="0057563F"/>
    <w:rsid w:val="00575A7E"/>
    <w:rsid w:val="00575D41"/>
    <w:rsid w:val="00575DEB"/>
    <w:rsid w:val="0057668D"/>
    <w:rsid w:val="005767D4"/>
    <w:rsid w:val="00576AE5"/>
    <w:rsid w:val="00576F5E"/>
    <w:rsid w:val="005772BE"/>
    <w:rsid w:val="0057747A"/>
    <w:rsid w:val="00577C21"/>
    <w:rsid w:val="005802D6"/>
    <w:rsid w:val="00580357"/>
    <w:rsid w:val="005803A4"/>
    <w:rsid w:val="00580431"/>
    <w:rsid w:val="005805AF"/>
    <w:rsid w:val="00580FB7"/>
    <w:rsid w:val="005812A4"/>
    <w:rsid w:val="00581338"/>
    <w:rsid w:val="005814BB"/>
    <w:rsid w:val="00581512"/>
    <w:rsid w:val="005819E6"/>
    <w:rsid w:val="00581BB1"/>
    <w:rsid w:val="00581E16"/>
    <w:rsid w:val="00582774"/>
    <w:rsid w:val="00582B32"/>
    <w:rsid w:val="00582B63"/>
    <w:rsid w:val="00582BCB"/>
    <w:rsid w:val="00582DAA"/>
    <w:rsid w:val="00582DAB"/>
    <w:rsid w:val="00583B09"/>
    <w:rsid w:val="00583D55"/>
    <w:rsid w:val="00583D8C"/>
    <w:rsid w:val="005842B8"/>
    <w:rsid w:val="005843BD"/>
    <w:rsid w:val="00584762"/>
    <w:rsid w:val="00584E68"/>
    <w:rsid w:val="00584FA9"/>
    <w:rsid w:val="00585506"/>
    <w:rsid w:val="005857A7"/>
    <w:rsid w:val="005858A3"/>
    <w:rsid w:val="00585975"/>
    <w:rsid w:val="00585CB9"/>
    <w:rsid w:val="0058606E"/>
    <w:rsid w:val="00586309"/>
    <w:rsid w:val="005865B1"/>
    <w:rsid w:val="005865F3"/>
    <w:rsid w:val="00586681"/>
    <w:rsid w:val="00586756"/>
    <w:rsid w:val="00586852"/>
    <w:rsid w:val="005869E4"/>
    <w:rsid w:val="00586A15"/>
    <w:rsid w:val="00586ED1"/>
    <w:rsid w:val="005873E4"/>
    <w:rsid w:val="0059016E"/>
    <w:rsid w:val="005901E1"/>
    <w:rsid w:val="0059099F"/>
    <w:rsid w:val="00590CDA"/>
    <w:rsid w:val="0059116A"/>
    <w:rsid w:val="005912A3"/>
    <w:rsid w:val="005917CC"/>
    <w:rsid w:val="005921E4"/>
    <w:rsid w:val="00592387"/>
    <w:rsid w:val="005929DD"/>
    <w:rsid w:val="00592A6C"/>
    <w:rsid w:val="00592B96"/>
    <w:rsid w:val="00593546"/>
    <w:rsid w:val="00593D67"/>
    <w:rsid w:val="00594395"/>
    <w:rsid w:val="005945F6"/>
    <w:rsid w:val="00594957"/>
    <w:rsid w:val="005950FA"/>
    <w:rsid w:val="005959F9"/>
    <w:rsid w:val="00595F8E"/>
    <w:rsid w:val="00595FAC"/>
    <w:rsid w:val="0059612B"/>
    <w:rsid w:val="0059634A"/>
    <w:rsid w:val="0059658E"/>
    <w:rsid w:val="0059690B"/>
    <w:rsid w:val="00596974"/>
    <w:rsid w:val="00596BBB"/>
    <w:rsid w:val="00596D1D"/>
    <w:rsid w:val="00597011"/>
    <w:rsid w:val="00597420"/>
    <w:rsid w:val="00597845"/>
    <w:rsid w:val="005979FF"/>
    <w:rsid w:val="005A0043"/>
    <w:rsid w:val="005A00B4"/>
    <w:rsid w:val="005A00E0"/>
    <w:rsid w:val="005A071B"/>
    <w:rsid w:val="005A094B"/>
    <w:rsid w:val="005A0B34"/>
    <w:rsid w:val="005A0D9C"/>
    <w:rsid w:val="005A0F58"/>
    <w:rsid w:val="005A102B"/>
    <w:rsid w:val="005A1528"/>
    <w:rsid w:val="005A1870"/>
    <w:rsid w:val="005A1E14"/>
    <w:rsid w:val="005A2076"/>
    <w:rsid w:val="005A20A3"/>
    <w:rsid w:val="005A2255"/>
    <w:rsid w:val="005A24EB"/>
    <w:rsid w:val="005A2CAB"/>
    <w:rsid w:val="005A3173"/>
    <w:rsid w:val="005A4262"/>
    <w:rsid w:val="005A42A3"/>
    <w:rsid w:val="005A43F0"/>
    <w:rsid w:val="005A461E"/>
    <w:rsid w:val="005A4901"/>
    <w:rsid w:val="005A4DF3"/>
    <w:rsid w:val="005A4F50"/>
    <w:rsid w:val="005A520B"/>
    <w:rsid w:val="005A5765"/>
    <w:rsid w:val="005A603A"/>
    <w:rsid w:val="005A64B5"/>
    <w:rsid w:val="005A6A28"/>
    <w:rsid w:val="005A6B93"/>
    <w:rsid w:val="005A75CA"/>
    <w:rsid w:val="005A79D8"/>
    <w:rsid w:val="005A7C82"/>
    <w:rsid w:val="005B01D8"/>
    <w:rsid w:val="005B0509"/>
    <w:rsid w:val="005B077C"/>
    <w:rsid w:val="005B12C4"/>
    <w:rsid w:val="005B136B"/>
    <w:rsid w:val="005B1961"/>
    <w:rsid w:val="005B1DCD"/>
    <w:rsid w:val="005B1F65"/>
    <w:rsid w:val="005B20D4"/>
    <w:rsid w:val="005B248D"/>
    <w:rsid w:val="005B2859"/>
    <w:rsid w:val="005B29DD"/>
    <w:rsid w:val="005B2D20"/>
    <w:rsid w:val="005B2E98"/>
    <w:rsid w:val="005B2F06"/>
    <w:rsid w:val="005B32EE"/>
    <w:rsid w:val="005B3D9B"/>
    <w:rsid w:val="005B433E"/>
    <w:rsid w:val="005B43A0"/>
    <w:rsid w:val="005B44F6"/>
    <w:rsid w:val="005B457F"/>
    <w:rsid w:val="005B472E"/>
    <w:rsid w:val="005B4A37"/>
    <w:rsid w:val="005B572B"/>
    <w:rsid w:val="005B5737"/>
    <w:rsid w:val="005B5B15"/>
    <w:rsid w:val="005B5D3E"/>
    <w:rsid w:val="005B65DB"/>
    <w:rsid w:val="005B768C"/>
    <w:rsid w:val="005B783E"/>
    <w:rsid w:val="005B7AD5"/>
    <w:rsid w:val="005C00A3"/>
    <w:rsid w:val="005C054F"/>
    <w:rsid w:val="005C0898"/>
    <w:rsid w:val="005C095F"/>
    <w:rsid w:val="005C09CF"/>
    <w:rsid w:val="005C0CDF"/>
    <w:rsid w:val="005C123A"/>
    <w:rsid w:val="005C193D"/>
    <w:rsid w:val="005C1AF1"/>
    <w:rsid w:val="005C2418"/>
    <w:rsid w:val="005C2472"/>
    <w:rsid w:val="005C2929"/>
    <w:rsid w:val="005C2EEE"/>
    <w:rsid w:val="005C31CA"/>
    <w:rsid w:val="005C35AF"/>
    <w:rsid w:val="005C3DCC"/>
    <w:rsid w:val="005C4220"/>
    <w:rsid w:val="005C44F2"/>
    <w:rsid w:val="005C46E7"/>
    <w:rsid w:val="005C4751"/>
    <w:rsid w:val="005C48F0"/>
    <w:rsid w:val="005C4954"/>
    <w:rsid w:val="005C4CA7"/>
    <w:rsid w:val="005C4CF8"/>
    <w:rsid w:val="005C4D48"/>
    <w:rsid w:val="005C4DF3"/>
    <w:rsid w:val="005C4E43"/>
    <w:rsid w:val="005C503B"/>
    <w:rsid w:val="005C51B8"/>
    <w:rsid w:val="005C5552"/>
    <w:rsid w:val="005C584B"/>
    <w:rsid w:val="005C5C2A"/>
    <w:rsid w:val="005C612F"/>
    <w:rsid w:val="005C63CA"/>
    <w:rsid w:val="005C668A"/>
    <w:rsid w:val="005C6CEA"/>
    <w:rsid w:val="005C6DAE"/>
    <w:rsid w:val="005C72BF"/>
    <w:rsid w:val="005C7B6C"/>
    <w:rsid w:val="005C7C80"/>
    <w:rsid w:val="005D000C"/>
    <w:rsid w:val="005D06BA"/>
    <w:rsid w:val="005D0732"/>
    <w:rsid w:val="005D095A"/>
    <w:rsid w:val="005D15D8"/>
    <w:rsid w:val="005D1994"/>
    <w:rsid w:val="005D1DE4"/>
    <w:rsid w:val="005D1E64"/>
    <w:rsid w:val="005D1EC0"/>
    <w:rsid w:val="005D1F1D"/>
    <w:rsid w:val="005D2189"/>
    <w:rsid w:val="005D2669"/>
    <w:rsid w:val="005D2A3A"/>
    <w:rsid w:val="005D30E3"/>
    <w:rsid w:val="005D31A1"/>
    <w:rsid w:val="005D3352"/>
    <w:rsid w:val="005D3A4E"/>
    <w:rsid w:val="005D3B92"/>
    <w:rsid w:val="005D3C5F"/>
    <w:rsid w:val="005D3F49"/>
    <w:rsid w:val="005D400F"/>
    <w:rsid w:val="005D4131"/>
    <w:rsid w:val="005D4549"/>
    <w:rsid w:val="005D46DF"/>
    <w:rsid w:val="005D4760"/>
    <w:rsid w:val="005D47CC"/>
    <w:rsid w:val="005D4812"/>
    <w:rsid w:val="005D4861"/>
    <w:rsid w:val="005D5052"/>
    <w:rsid w:val="005D51F8"/>
    <w:rsid w:val="005D5463"/>
    <w:rsid w:val="005D5528"/>
    <w:rsid w:val="005D55C5"/>
    <w:rsid w:val="005D5832"/>
    <w:rsid w:val="005D5A92"/>
    <w:rsid w:val="005D5AA7"/>
    <w:rsid w:val="005D5B12"/>
    <w:rsid w:val="005D5BB0"/>
    <w:rsid w:val="005D5BCB"/>
    <w:rsid w:val="005D5EB2"/>
    <w:rsid w:val="005D5FB9"/>
    <w:rsid w:val="005D607B"/>
    <w:rsid w:val="005D614A"/>
    <w:rsid w:val="005D61F9"/>
    <w:rsid w:val="005D71EC"/>
    <w:rsid w:val="005D7739"/>
    <w:rsid w:val="005D79A2"/>
    <w:rsid w:val="005D7AE8"/>
    <w:rsid w:val="005D7C06"/>
    <w:rsid w:val="005D7D67"/>
    <w:rsid w:val="005D7D82"/>
    <w:rsid w:val="005D7F85"/>
    <w:rsid w:val="005E00C2"/>
    <w:rsid w:val="005E013F"/>
    <w:rsid w:val="005E018E"/>
    <w:rsid w:val="005E0692"/>
    <w:rsid w:val="005E07C5"/>
    <w:rsid w:val="005E0926"/>
    <w:rsid w:val="005E0970"/>
    <w:rsid w:val="005E0C2F"/>
    <w:rsid w:val="005E0FA8"/>
    <w:rsid w:val="005E125F"/>
    <w:rsid w:val="005E1E17"/>
    <w:rsid w:val="005E2234"/>
    <w:rsid w:val="005E23A2"/>
    <w:rsid w:val="005E23EF"/>
    <w:rsid w:val="005E290A"/>
    <w:rsid w:val="005E2FA3"/>
    <w:rsid w:val="005E31D5"/>
    <w:rsid w:val="005E3376"/>
    <w:rsid w:val="005E38A9"/>
    <w:rsid w:val="005E3A1C"/>
    <w:rsid w:val="005E3D9C"/>
    <w:rsid w:val="005E3EE9"/>
    <w:rsid w:val="005E40EE"/>
    <w:rsid w:val="005E4253"/>
    <w:rsid w:val="005E435D"/>
    <w:rsid w:val="005E45F8"/>
    <w:rsid w:val="005E4694"/>
    <w:rsid w:val="005E52A5"/>
    <w:rsid w:val="005E52D9"/>
    <w:rsid w:val="005E5953"/>
    <w:rsid w:val="005E5A18"/>
    <w:rsid w:val="005E5FA8"/>
    <w:rsid w:val="005E60FF"/>
    <w:rsid w:val="005E6FF2"/>
    <w:rsid w:val="005E7125"/>
    <w:rsid w:val="005E728F"/>
    <w:rsid w:val="005E7825"/>
    <w:rsid w:val="005E7A9A"/>
    <w:rsid w:val="005E7AD5"/>
    <w:rsid w:val="005E7EC3"/>
    <w:rsid w:val="005E7FB1"/>
    <w:rsid w:val="005F0194"/>
    <w:rsid w:val="005F0197"/>
    <w:rsid w:val="005F0E11"/>
    <w:rsid w:val="005F0EDD"/>
    <w:rsid w:val="005F1090"/>
    <w:rsid w:val="005F15B7"/>
    <w:rsid w:val="005F18F3"/>
    <w:rsid w:val="005F1AB2"/>
    <w:rsid w:val="005F224D"/>
    <w:rsid w:val="005F254E"/>
    <w:rsid w:val="005F26ED"/>
    <w:rsid w:val="005F2BB2"/>
    <w:rsid w:val="005F2C9D"/>
    <w:rsid w:val="005F3060"/>
    <w:rsid w:val="005F31EB"/>
    <w:rsid w:val="005F326A"/>
    <w:rsid w:val="005F381E"/>
    <w:rsid w:val="005F382E"/>
    <w:rsid w:val="005F3938"/>
    <w:rsid w:val="005F3BB2"/>
    <w:rsid w:val="005F3DD5"/>
    <w:rsid w:val="005F401B"/>
    <w:rsid w:val="005F4988"/>
    <w:rsid w:val="005F507F"/>
    <w:rsid w:val="005F5400"/>
    <w:rsid w:val="005F5750"/>
    <w:rsid w:val="005F5A90"/>
    <w:rsid w:val="005F61B5"/>
    <w:rsid w:val="005F6449"/>
    <w:rsid w:val="005F64EC"/>
    <w:rsid w:val="005F6513"/>
    <w:rsid w:val="005F663B"/>
    <w:rsid w:val="005F685A"/>
    <w:rsid w:val="005F6890"/>
    <w:rsid w:val="005F6D2D"/>
    <w:rsid w:val="005F70FB"/>
    <w:rsid w:val="005F73AA"/>
    <w:rsid w:val="005F7791"/>
    <w:rsid w:val="005F79FD"/>
    <w:rsid w:val="005F7AF1"/>
    <w:rsid w:val="005F7DA6"/>
    <w:rsid w:val="00600042"/>
    <w:rsid w:val="0060066A"/>
    <w:rsid w:val="00600BC2"/>
    <w:rsid w:val="00600CD6"/>
    <w:rsid w:val="00601178"/>
    <w:rsid w:val="006016CA"/>
    <w:rsid w:val="00601937"/>
    <w:rsid w:val="00601BB6"/>
    <w:rsid w:val="00601C84"/>
    <w:rsid w:val="00601CC0"/>
    <w:rsid w:val="00601F46"/>
    <w:rsid w:val="00601FA2"/>
    <w:rsid w:val="006020DE"/>
    <w:rsid w:val="00602103"/>
    <w:rsid w:val="00602907"/>
    <w:rsid w:val="006029D8"/>
    <w:rsid w:val="00602FFC"/>
    <w:rsid w:val="006031A6"/>
    <w:rsid w:val="00603443"/>
    <w:rsid w:val="00603D40"/>
    <w:rsid w:val="00603FAA"/>
    <w:rsid w:val="00604382"/>
    <w:rsid w:val="006048FD"/>
    <w:rsid w:val="00604B0E"/>
    <w:rsid w:val="00604F54"/>
    <w:rsid w:val="00605003"/>
    <w:rsid w:val="006052EF"/>
    <w:rsid w:val="006056AD"/>
    <w:rsid w:val="006057FA"/>
    <w:rsid w:val="00605DCB"/>
    <w:rsid w:val="00606306"/>
    <w:rsid w:val="00606443"/>
    <w:rsid w:val="0060659C"/>
    <w:rsid w:val="006067AB"/>
    <w:rsid w:val="006067F5"/>
    <w:rsid w:val="00606BF4"/>
    <w:rsid w:val="00606FF0"/>
    <w:rsid w:val="00607212"/>
    <w:rsid w:val="0060747F"/>
    <w:rsid w:val="0060796C"/>
    <w:rsid w:val="00607A48"/>
    <w:rsid w:val="006100B7"/>
    <w:rsid w:val="00610488"/>
    <w:rsid w:val="00610965"/>
    <w:rsid w:val="00610DA6"/>
    <w:rsid w:val="0061109F"/>
    <w:rsid w:val="006110B7"/>
    <w:rsid w:val="00611173"/>
    <w:rsid w:val="006117BE"/>
    <w:rsid w:val="00611A9E"/>
    <w:rsid w:val="00612099"/>
    <w:rsid w:val="0061220E"/>
    <w:rsid w:val="0061221B"/>
    <w:rsid w:val="006123D5"/>
    <w:rsid w:val="006129CB"/>
    <w:rsid w:val="00612AAC"/>
    <w:rsid w:val="00613375"/>
    <w:rsid w:val="00613380"/>
    <w:rsid w:val="00613A68"/>
    <w:rsid w:val="00613D35"/>
    <w:rsid w:val="006140DD"/>
    <w:rsid w:val="0061449A"/>
    <w:rsid w:val="00614A7A"/>
    <w:rsid w:val="00614BD1"/>
    <w:rsid w:val="00614E20"/>
    <w:rsid w:val="0061516E"/>
    <w:rsid w:val="006151BF"/>
    <w:rsid w:val="00615579"/>
    <w:rsid w:val="0061571B"/>
    <w:rsid w:val="006157C6"/>
    <w:rsid w:val="00615CFC"/>
    <w:rsid w:val="00615D15"/>
    <w:rsid w:val="00615F33"/>
    <w:rsid w:val="006165EB"/>
    <w:rsid w:val="00616850"/>
    <w:rsid w:val="00616AD5"/>
    <w:rsid w:val="00616BAF"/>
    <w:rsid w:val="00616E9C"/>
    <w:rsid w:val="00616FEE"/>
    <w:rsid w:val="006174F6"/>
    <w:rsid w:val="006175BF"/>
    <w:rsid w:val="0061799D"/>
    <w:rsid w:val="00617AA9"/>
    <w:rsid w:val="00617FE5"/>
    <w:rsid w:val="006203D5"/>
    <w:rsid w:val="00620556"/>
    <w:rsid w:val="00620980"/>
    <w:rsid w:val="00620B40"/>
    <w:rsid w:val="00620C55"/>
    <w:rsid w:val="00620E5C"/>
    <w:rsid w:val="00620EC0"/>
    <w:rsid w:val="0062111B"/>
    <w:rsid w:val="00621183"/>
    <w:rsid w:val="006212C8"/>
    <w:rsid w:val="006213A7"/>
    <w:rsid w:val="006213DB"/>
    <w:rsid w:val="00621611"/>
    <w:rsid w:val="00621635"/>
    <w:rsid w:val="00621723"/>
    <w:rsid w:val="0062178C"/>
    <w:rsid w:val="00621A55"/>
    <w:rsid w:val="00621CF4"/>
    <w:rsid w:val="00621F47"/>
    <w:rsid w:val="00622B98"/>
    <w:rsid w:val="00622E37"/>
    <w:rsid w:val="00623214"/>
    <w:rsid w:val="0062329D"/>
    <w:rsid w:val="006234C1"/>
    <w:rsid w:val="006234F8"/>
    <w:rsid w:val="006237A4"/>
    <w:rsid w:val="00623A7B"/>
    <w:rsid w:val="00623AA6"/>
    <w:rsid w:val="00623FB9"/>
    <w:rsid w:val="00624A1B"/>
    <w:rsid w:val="00624CA0"/>
    <w:rsid w:val="00624D1E"/>
    <w:rsid w:val="00624F1A"/>
    <w:rsid w:val="006252EC"/>
    <w:rsid w:val="0062539C"/>
    <w:rsid w:val="006254A5"/>
    <w:rsid w:val="0062571C"/>
    <w:rsid w:val="0062571E"/>
    <w:rsid w:val="00625746"/>
    <w:rsid w:val="00625766"/>
    <w:rsid w:val="00625A1D"/>
    <w:rsid w:val="00625A77"/>
    <w:rsid w:val="00625B98"/>
    <w:rsid w:val="00625E1D"/>
    <w:rsid w:val="00625EAC"/>
    <w:rsid w:val="00625FC9"/>
    <w:rsid w:val="00626148"/>
    <w:rsid w:val="00626A2F"/>
    <w:rsid w:val="00626B48"/>
    <w:rsid w:val="00627082"/>
    <w:rsid w:val="00627283"/>
    <w:rsid w:val="006272DC"/>
    <w:rsid w:val="0062776D"/>
    <w:rsid w:val="006300C7"/>
    <w:rsid w:val="0063070B"/>
    <w:rsid w:val="00630C66"/>
    <w:rsid w:val="00631473"/>
    <w:rsid w:val="0063165F"/>
    <w:rsid w:val="00631957"/>
    <w:rsid w:val="00631B32"/>
    <w:rsid w:val="00632140"/>
    <w:rsid w:val="006321DD"/>
    <w:rsid w:val="00632381"/>
    <w:rsid w:val="006326BE"/>
    <w:rsid w:val="00632C42"/>
    <w:rsid w:val="00633035"/>
    <w:rsid w:val="00633199"/>
    <w:rsid w:val="006331E9"/>
    <w:rsid w:val="006334CF"/>
    <w:rsid w:val="006338CD"/>
    <w:rsid w:val="00633988"/>
    <w:rsid w:val="00633B6B"/>
    <w:rsid w:val="00633CFF"/>
    <w:rsid w:val="00633DE9"/>
    <w:rsid w:val="00633F2B"/>
    <w:rsid w:val="0063406F"/>
    <w:rsid w:val="006342D1"/>
    <w:rsid w:val="0063483C"/>
    <w:rsid w:val="00635F72"/>
    <w:rsid w:val="00636160"/>
    <w:rsid w:val="0063626F"/>
    <w:rsid w:val="006362B4"/>
    <w:rsid w:val="00636975"/>
    <w:rsid w:val="006374A9"/>
    <w:rsid w:val="006376E7"/>
    <w:rsid w:val="006378F9"/>
    <w:rsid w:val="006379B7"/>
    <w:rsid w:val="006379B9"/>
    <w:rsid w:val="00637B5E"/>
    <w:rsid w:val="00637CA4"/>
    <w:rsid w:val="00640032"/>
    <w:rsid w:val="00640612"/>
    <w:rsid w:val="00640978"/>
    <w:rsid w:val="00640A15"/>
    <w:rsid w:val="0064132A"/>
    <w:rsid w:val="00641424"/>
    <w:rsid w:val="006415AD"/>
    <w:rsid w:val="00641CDF"/>
    <w:rsid w:val="00641D4D"/>
    <w:rsid w:val="006425A1"/>
    <w:rsid w:val="00642D04"/>
    <w:rsid w:val="0064304F"/>
    <w:rsid w:val="00643086"/>
    <w:rsid w:val="006433DB"/>
    <w:rsid w:val="00643576"/>
    <w:rsid w:val="00643A3F"/>
    <w:rsid w:val="00644688"/>
    <w:rsid w:val="0064481F"/>
    <w:rsid w:val="00645BE5"/>
    <w:rsid w:val="0064600C"/>
    <w:rsid w:val="00646101"/>
    <w:rsid w:val="006463E3"/>
    <w:rsid w:val="0064640A"/>
    <w:rsid w:val="00646BE3"/>
    <w:rsid w:val="00646D03"/>
    <w:rsid w:val="00646D4A"/>
    <w:rsid w:val="0064700F"/>
    <w:rsid w:val="00647392"/>
    <w:rsid w:val="00647589"/>
    <w:rsid w:val="00647643"/>
    <w:rsid w:val="00647732"/>
    <w:rsid w:val="006477DB"/>
    <w:rsid w:val="00647A61"/>
    <w:rsid w:val="00647DC8"/>
    <w:rsid w:val="0065008D"/>
    <w:rsid w:val="006501CF"/>
    <w:rsid w:val="00650E7A"/>
    <w:rsid w:val="00651856"/>
    <w:rsid w:val="0065198D"/>
    <w:rsid w:val="00651AA1"/>
    <w:rsid w:val="00651D35"/>
    <w:rsid w:val="00651E1B"/>
    <w:rsid w:val="0065201C"/>
    <w:rsid w:val="0065211A"/>
    <w:rsid w:val="0065238F"/>
    <w:rsid w:val="006525D2"/>
    <w:rsid w:val="00652BEA"/>
    <w:rsid w:val="00652DF9"/>
    <w:rsid w:val="006532D9"/>
    <w:rsid w:val="0065359E"/>
    <w:rsid w:val="006538CE"/>
    <w:rsid w:val="00653A9E"/>
    <w:rsid w:val="00654399"/>
    <w:rsid w:val="0065478C"/>
    <w:rsid w:val="0065479F"/>
    <w:rsid w:val="00654979"/>
    <w:rsid w:val="006559BA"/>
    <w:rsid w:val="006559CC"/>
    <w:rsid w:val="00655AFA"/>
    <w:rsid w:val="00655B7C"/>
    <w:rsid w:val="00655FF4"/>
    <w:rsid w:val="0065634F"/>
    <w:rsid w:val="0065658E"/>
    <w:rsid w:val="006565A8"/>
    <w:rsid w:val="00656655"/>
    <w:rsid w:val="006566EE"/>
    <w:rsid w:val="00657006"/>
    <w:rsid w:val="006575C3"/>
    <w:rsid w:val="00657680"/>
    <w:rsid w:val="00657AEA"/>
    <w:rsid w:val="00657BC6"/>
    <w:rsid w:val="00657BF3"/>
    <w:rsid w:val="00657CE8"/>
    <w:rsid w:val="00657DCF"/>
    <w:rsid w:val="00660145"/>
    <w:rsid w:val="0066069B"/>
    <w:rsid w:val="006606E4"/>
    <w:rsid w:val="00660892"/>
    <w:rsid w:val="00660996"/>
    <w:rsid w:val="006609F6"/>
    <w:rsid w:val="00660B69"/>
    <w:rsid w:val="00660E5D"/>
    <w:rsid w:val="00661A2E"/>
    <w:rsid w:val="006624C9"/>
    <w:rsid w:val="00662649"/>
    <w:rsid w:val="00662693"/>
    <w:rsid w:val="006626C0"/>
    <w:rsid w:val="006629DF"/>
    <w:rsid w:val="00662A99"/>
    <w:rsid w:val="00662C3F"/>
    <w:rsid w:val="00662E0C"/>
    <w:rsid w:val="006634D6"/>
    <w:rsid w:val="006634FF"/>
    <w:rsid w:val="006637B9"/>
    <w:rsid w:val="00663985"/>
    <w:rsid w:val="00663A4F"/>
    <w:rsid w:val="00663B94"/>
    <w:rsid w:val="00663C20"/>
    <w:rsid w:val="00663E63"/>
    <w:rsid w:val="006644C5"/>
    <w:rsid w:val="006645AE"/>
    <w:rsid w:val="00664801"/>
    <w:rsid w:val="006648CC"/>
    <w:rsid w:val="00664D09"/>
    <w:rsid w:val="00664FC4"/>
    <w:rsid w:val="006652B6"/>
    <w:rsid w:val="00665651"/>
    <w:rsid w:val="0066585F"/>
    <w:rsid w:val="006658AE"/>
    <w:rsid w:val="00665C30"/>
    <w:rsid w:val="006660DB"/>
    <w:rsid w:val="00666443"/>
    <w:rsid w:val="00666956"/>
    <w:rsid w:val="00666A0E"/>
    <w:rsid w:val="00666B28"/>
    <w:rsid w:val="00666BC0"/>
    <w:rsid w:val="00666E60"/>
    <w:rsid w:val="00666FC4"/>
    <w:rsid w:val="0066723C"/>
    <w:rsid w:val="006674A2"/>
    <w:rsid w:val="006679F1"/>
    <w:rsid w:val="00667F45"/>
    <w:rsid w:val="00667F9F"/>
    <w:rsid w:val="006703DC"/>
    <w:rsid w:val="006707CB"/>
    <w:rsid w:val="00670CBC"/>
    <w:rsid w:val="00671059"/>
    <w:rsid w:val="00671436"/>
    <w:rsid w:val="00671721"/>
    <w:rsid w:val="006719FD"/>
    <w:rsid w:val="00671E6F"/>
    <w:rsid w:val="006726FC"/>
    <w:rsid w:val="00672DF2"/>
    <w:rsid w:val="006730A9"/>
    <w:rsid w:val="00673B5F"/>
    <w:rsid w:val="00673F1E"/>
    <w:rsid w:val="006741C3"/>
    <w:rsid w:val="00674859"/>
    <w:rsid w:val="006748CD"/>
    <w:rsid w:val="00674BB0"/>
    <w:rsid w:val="00674F55"/>
    <w:rsid w:val="00675700"/>
    <w:rsid w:val="00676249"/>
    <w:rsid w:val="00676251"/>
    <w:rsid w:val="006765CE"/>
    <w:rsid w:val="006769B5"/>
    <w:rsid w:val="006769E2"/>
    <w:rsid w:val="00676A57"/>
    <w:rsid w:val="00676CAC"/>
    <w:rsid w:val="00676EC4"/>
    <w:rsid w:val="0067788F"/>
    <w:rsid w:val="006779A9"/>
    <w:rsid w:val="00677AC7"/>
    <w:rsid w:val="00677B35"/>
    <w:rsid w:val="00677B9E"/>
    <w:rsid w:val="00677C03"/>
    <w:rsid w:val="006801BB"/>
    <w:rsid w:val="006801E2"/>
    <w:rsid w:val="00680909"/>
    <w:rsid w:val="00680C66"/>
    <w:rsid w:val="00680E65"/>
    <w:rsid w:val="00680F12"/>
    <w:rsid w:val="00681172"/>
    <w:rsid w:val="006812F3"/>
    <w:rsid w:val="0068144C"/>
    <w:rsid w:val="00681623"/>
    <w:rsid w:val="00681838"/>
    <w:rsid w:val="00681CE4"/>
    <w:rsid w:val="00681FC5"/>
    <w:rsid w:val="006824A9"/>
    <w:rsid w:val="006826BF"/>
    <w:rsid w:val="00682A3E"/>
    <w:rsid w:val="00682C62"/>
    <w:rsid w:val="00682E5B"/>
    <w:rsid w:val="00682FF1"/>
    <w:rsid w:val="006830EA"/>
    <w:rsid w:val="006834EE"/>
    <w:rsid w:val="00683AFB"/>
    <w:rsid w:val="00683D7D"/>
    <w:rsid w:val="00683E4C"/>
    <w:rsid w:val="0068418D"/>
    <w:rsid w:val="00684AA1"/>
    <w:rsid w:val="00684F7B"/>
    <w:rsid w:val="0068514D"/>
    <w:rsid w:val="00685484"/>
    <w:rsid w:val="00685F54"/>
    <w:rsid w:val="00685F6F"/>
    <w:rsid w:val="00685FCB"/>
    <w:rsid w:val="006860BC"/>
    <w:rsid w:val="006861D0"/>
    <w:rsid w:val="006867A1"/>
    <w:rsid w:val="006867EE"/>
    <w:rsid w:val="006875DB"/>
    <w:rsid w:val="00687A3C"/>
    <w:rsid w:val="00687BD7"/>
    <w:rsid w:val="00687C29"/>
    <w:rsid w:val="00687D74"/>
    <w:rsid w:val="00687E8B"/>
    <w:rsid w:val="00687EA5"/>
    <w:rsid w:val="00687F71"/>
    <w:rsid w:val="00690035"/>
    <w:rsid w:val="0069029F"/>
    <w:rsid w:val="006904D6"/>
    <w:rsid w:val="006906E6"/>
    <w:rsid w:val="0069099D"/>
    <w:rsid w:val="00690A45"/>
    <w:rsid w:val="00690B3C"/>
    <w:rsid w:val="00690D1C"/>
    <w:rsid w:val="00690E78"/>
    <w:rsid w:val="00691607"/>
    <w:rsid w:val="00691A7D"/>
    <w:rsid w:val="00691C9C"/>
    <w:rsid w:val="00691E5C"/>
    <w:rsid w:val="00692550"/>
    <w:rsid w:val="0069261E"/>
    <w:rsid w:val="0069294C"/>
    <w:rsid w:val="00692C93"/>
    <w:rsid w:val="006932B9"/>
    <w:rsid w:val="0069367E"/>
    <w:rsid w:val="0069376F"/>
    <w:rsid w:val="00693B01"/>
    <w:rsid w:val="00694B8E"/>
    <w:rsid w:val="00694D1C"/>
    <w:rsid w:val="00694D2E"/>
    <w:rsid w:val="00694E04"/>
    <w:rsid w:val="00695427"/>
    <w:rsid w:val="00695540"/>
    <w:rsid w:val="00695F34"/>
    <w:rsid w:val="006961DD"/>
    <w:rsid w:val="0069625E"/>
    <w:rsid w:val="0069639A"/>
    <w:rsid w:val="0069649A"/>
    <w:rsid w:val="006964FE"/>
    <w:rsid w:val="00696999"/>
    <w:rsid w:val="00696F21"/>
    <w:rsid w:val="00696FB7"/>
    <w:rsid w:val="006975EF"/>
    <w:rsid w:val="00697684"/>
    <w:rsid w:val="006977E3"/>
    <w:rsid w:val="006978F0"/>
    <w:rsid w:val="00697F3F"/>
    <w:rsid w:val="00697FA4"/>
    <w:rsid w:val="006A05B8"/>
    <w:rsid w:val="006A0896"/>
    <w:rsid w:val="006A08F3"/>
    <w:rsid w:val="006A0D60"/>
    <w:rsid w:val="006A0DDF"/>
    <w:rsid w:val="006A0E50"/>
    <w:rsid w:val="006A0E66"/>
    <w:rsid w:val="006A0FE4"/>
    <w:rsid w:val="006A1192"/>
    <w:rsid w:val="006A1CE6"/>
    <w:rsid w:val="006A1D04"/>
    <w:rsid w:val="006A1F4D"/>
    <w:rsid w:val="006A200F"/>
    <w:rsid w:val="006A20E7"/>
    <w:rsid w:val="006A222A"/>
    <w:rsid w:val="006A24AF"/>
    <w:rsid w:val="006A25C0"/>
    <w:rsid w:val="006A285A"/>
    <w:rsid w:val="006A2AED"/>
    <w:rsid w:val="006A3860"/>
    <w:rsid w:val="006A3B8F"/>
    <w:rsid w:val="006A3C6F"/>
    <w:rsid w:val="006A3E98"/>
    <w:rsid w:val="006A40FD"/>
    <w:rsid w:val="006A4484"/>
    <w:rsid w:val="006A4A56"/>
    <w:rsid w:val="006A588B"/>
    <w:rsid w:val="006A59DF"/>
    <w:rsid w:val="006A6313"/>
    <w:rsid w:val="006A67B3"/>
    <w:rsid w:val="006A6CD6"/>
    <w:rsid w:val="006B00E8"/>
    <w:rsid w:val="006B07A0"/>
    <w:rsid w:val="006B0854"/>
    <w:rsid w:val="006B0BEE"/>
    <w:rsid w:val="006B0C2A"/>
    <w:rsid w:val="006B0CE0"/>
    <w:rsid w:val="006B0D78"/>
    <w:rsid w:val="006B0D9C"/>
    <w:rsid w:val="006B13B2"/>
    <w:rsid w:val="006B1605"/>
    <w:rsid w:val="006B1700"/>
    <w:rsid w:val="006B175E"/>
    <w:rsid w:val="006B18B0"/>
    <w:rsid w:val="006B1923"/>
    <w:rsid w:val="006B1BF2"/>
    <w:rsid w:val="006B1F0F"/>
    <w:rsid w:val="006B2244"/>
    <w:rsid w:val="006B22B4"/>
    <w:rsid w:val="006B26C1"/>
    <w:rsid w:val="006B26F4"/>
    <w:rsid w:val="006B27D8"/>
    <w:rsid w:val="006B2805"/>
    <w:rsid w:val="006B289A"/>
    <w:rsid w:val="006B2901"/>
    <w:rsid w:val="006B2E61"/>
    <w:rsid w:val="006B3495"/>
    <w:rsid w:val="006B3AB6"/>
    <w:rsid w:val="006B3CD4"/>
    <w:rsid w:val="006B3CDA"/>
    <w:rsid w:val="006B3DE2"/>
    <w:rsid w:val="006B3DF2"/>
    <w:rsid w:val="006B3EFA"/>
    <w:rsid w:val="006B3F31"/>
    <w:rsid w:val="006B4186"/>
    <w:rsid w:val="006B5554"/>
    <w:rsid w:val="006B566B"/>
    <w:rsid w:val="006B5982"/>
    <w:rsid w:val="006B5D3C"/>
    <w:rsid w:val="006B5D72"/>
    <w:rsid w:val="006B621B"/>
    <w:rsid w:val="006B66F4"/>
    <w:rsid w:val="006B67AC"/>
    <w:rsid w:val="006B6ADF"/>
    <w:rsid w:val="006B6C39"/>
    <w:rsid w:val="006B6E23"/>
    <w:rsid w:val="006B6EB1"/>
    <w:rsid w:val="006B70C9"/>
    <w:rsid w:val="006B78A6"/>
    <w:rsid w:val="006B7DD4"/>
    <w:rsid w:val="006B7F07"/>
    <w:rsid w:val="006C03D0"/>
    <w:rsid w:val="006C0722"/>
    <w:rsid w:val="006C15ED"/>
    <w:rsid w:val="006C19B3"/>
    <w:rsid w:val="006C19F3"/>
    <w:rsid w:val="006C1AD8"/>
    <w:rsid w:val="006C1B66"/>
    <w:rsid w:val="006C1CEA"/>
    <w:rsid w:val="006C1EA0"/>
    <w:rsid w:val="006C2384"/>
    <w:rsid w:val="006C27B1"/>
    <w:rsid w:val="006C29CE"/>
    <w:rsid w:val="006C2E67"/>
    <w:rsid w:val="006C344F"/>
    <w:rsid w:val="006C3814"/>
    <w:rsid w:val="006C404E"/>
    <w:rsid w:val="006C4145"/>
    <w:rsid w:val="006C424A"/>
    <w:rsid w:val="006C474B"/>
    <w:rsid w:val="006C48CF"/>
    <w:rsid w:val="006C4E0A"/>
    <w:rsid w:val="006C5618"/>
    <w:rsid w:val="006C56AE"/>
    <w:rsid w:val="006C5CFA"/>
    <w:rsid w:val="006C5E7F"/>
    <w:rsid w:val="006C5EAA"/>
    <w:rsid w:val="006C5ECE"/>
    <w:rsid w:val="006C61A8"/>
    <w:rsid w:val="006C62FE"/>
    <w:rsid w:val="006C6CE9"/>
    <w:rsid w:val="006C73DF"/>
    <w:rsid w:val="006C7782"/>
    <w:rsid w:val="006C7B0C"/>
    <w:rsid w:val="006C7B71"/>
    <w:rsid w:val="006C7E0D"/>
    <w:rsid w:val="006C7E2C"/>
    <w:rsid w:val="006C7F75"/>
    <w:rsid w:val="006D00C8"/>
    <w:rsid w:val="006D02F4"/>
    <w:rsid w:val="006D08AB"/>
    <w:rsid w:val="006D0908"/>
    <w:rsid w:val="006D0A7A"/>
    <w:rsid w:val="006D1A82"/>
    <w:rsid w:val="006D1DF9"/>
    <w:rsid w:val="006D1E70"/>
    <w:rsid w:val="006D238A"/>
    <w:rsid w:val="006D261B"/>
    <w:rsid w:val="006D2706"/>
    <w:rsid w:val="006D2E62"/>
    <w:rsid w:val="006D2F18"/>
    <w:rsid w:val="006D2F94"/>
    <w:rsid w:val="006D32A1"/>
    <w:rsid w:val="006D3636"/>
    <w:rsid w:val="006D37D5"/>
    <w:rsid w:val="006D3A3B"/>
    <w:rsid w:val="006D3ADC"/>
    <w:rsid w:val="006D3AE9"/>
    <w:rsid w:val="006D3F6E"/>
    <w:rsid w:val="006D430B"/>
    <w:rsid w:val="006D4600"/>
    <w:rsid w:val="006D46C9"/>
    <w:rsid w:val="006D482B"/>
    <w:rsid w:val="006D4A00"/>
    <w:rsid w:val="006D4A17"/>
    <w:rsid w:val="006D514E"/>
    <w:rsid w:val="006D5B08"/>
    <w:rsid w:val="006D5B19"/>
    <w:rsid w:val="006D5C5F"/>
    <w:rsid w:val="006D5F38"/>
    <w:rsid w:val="006D6515"/>
    <w:rsid w:val="006D6862"/>
    <w:rsid w:val="006D7D62"/>
    <w:rsid w:val="006D7FB8"/>
    <w:rsid w:val="006E019A"/>
    <w:rsid w:val="006E061F"/>
    <w:rsid w:val="006E0D66"/>
    <w:rsid w:val="006E0DA9"/>
    <w:rsid w:val="006E0F7D"/>
    <w:rsid w:val="006E1413"/>
    <w:rsid w:val="006E142E"/>
    <w:rsid w:val="006E166D"/>
    <w:rsid w:val="006E172F"/>
    <w:rsid w:val="006E1A48"/>
    <w:rsid w:val="006E215B"/>
    <w:rsid w:val="006E27C5"/>
    <w:rsid w:val="006E27F7"/>
    <w:rsid w:val="006E2A3A"/>
    <w:rsid w:val="006E2C55"/>
    <w:rsid w:val="006E2E69"/>
    <w:rsid w:val="006E2EE9"/>
    <w:rsid w:val="006E32F1"/>
    <w:rsid w:val="006E3560"/>
    <w:rsid w:val="006E374F"/>
    <w:rsid w:val="006E3E35"/>
    <w:rsid w:val="006E43F3"/>
    <w:rsid w:val="006E4853"/>
    <w:rsid w:val="006E538E"/>
    <w:rsid w:val="006E5BDE"/>
    <w:rsid w:val="006E5E05"/>
    <w:rsid w:val="006E6A0B"/>
    <w:rsid w:val="006E6DD5"/>
    <w:rsid w:val="006E7115"/>
    <w:rsid w:val="006E742E"/>
    <w:rsid w:val="006E7623"/>
    <w:rsid w:val="006F041A"/>
    <w:rsid w:val="006F0E12"/>
    <w:rsid w:val="006F197D"/>
    <w:rsid w:val="006F1B6B"/>
    <w:rsid w:val="006F26E9"/>
    <w:rsid w:val="006F2774"/>
    <w:rsid w:val="006F28B9"/>
    <w:rsid w:val="006F294A"/>
    <w:rsid w:val="006F299D"/>
    <w:rsid w:val="006F2AFC"/>
    <w:rsid w:val="006F3097"/>
    <w:rsid w:val="006F3229"/>
    <w:rsid w:val="006F33DA"/>
    <w:rsid w:val="006F3560"/>
    <w:rsid w:val="006F3583"/>
    <w:rsid w:val="006F366C"/>
    <w:rsid w:val="006F36AF"/>
    <w:rsid w:val="006F3EA7"/>
    <w:rsid w:val="006F43D8"/>
    <w:rsid w:val="006F4454"/>
    <w:rsid w:val="006F44EE"/>
    <w:rsid w:val="006F4BF1"/>
    <w:rsid w:val="006F4EFE"/>
    <w:rsid w:val="006F503C"/>
    <w:rsid w:val="006F5972"/>
    <w:rsid w:val="006F5B8C"/>
    <w:rsid w:val="006F5F29"/>
    <w:rsid w:val="006F5F5A"/>
    <w:rsid w:val="006F600E"/>
    <w:rsid w:val="006F68B7"/>
    <w:rsid w:val="006F6AD0"/>
    <w:rsid w:val="006F6BB8"/>
    <w:rsid w:val="006F6DD8"/>
    <w:rsid w:val="006F6EDF"/>
    <w:rsid w:val="006F711E"/>
    <w:rsid w:val="006F72F8"/>
    <w:rsid w:val="006F7D79"/>
    <w:rsid w:val="006F7FDF"/>
    <w:rsid w:val="00700328"/>
    <w:rsid w:val="00700B45"/>
    <w:rsid w:val="007010B3"/>
    <w:rsid w:val="007013CC"/>
    <w:rsid w:val="00701715"/>
    <w:rsid w:val="007018B2"/>
    <w:rsid w:val="00701BF1"/>
    <w:rsid w:val="007028B8"/>
    <w:rsid w:val="00702BFF"/>
    <w:rsid w:val="00702DF3"/>
    <w:rsid w:val="00703067"/>
    <w:rsid w:val="00703B35"/>
    <w:rsid w:val="00703DF2"/>
    <w:rsid w:val="00703F59"/>
    <w:rsid w:val="00704080"/>
    <w:rsid w:val="00704521"/>
    <w:rsid w:val="0070456C"/>
    <w:rsid w:val="007048DE"/>
    <w:rsid w:val="00704C57"/>
    <w:rsid w:val="0070516B"/>
    <w:rsid w:val="00705248"/>
    <w:rsid w:val="00705F09"/>
    <w:rsid w:val="00706BC9"/>
    <w:rsid w:val="00706CB5"/>
    <w:rsid w:val="00706DA6"/>
    <w:rsid w:val="007074F5"/>
    <w:rsid w:val="00707B1A"/>
    <w:rsid w:val="00707C24"/>
    <w:rsid w:val="00710DD9"/>
    <w:rsid w:val="00711B17"/>
    <w:rsid w:val="00712233"/>
    <w:rsid w:val="007123FC"/>
    <w:rsid w:val="0071268D"/>
    <w:rsid w:val="0071289C"/>
    <w:rsid w:val="00712D4B"/>
    <w:rsid w:val="00712EFB"/>
    <w:rsid w:val="00712F3B"/>
    <w:rsid w:val="00712FE3"/>
    <w:rsid w:val="00713115"/>
    <w:rsid w:val="007135B6"/>
    <w:rsid w:val="007138DC"/>
    <w:rsid w:val="0071457A"/>
    <w:rsid w:val="007146E2"/>
    <w:rsid w:val="00714809"/>
    <w:rsid w:val="007151FA"/>
    <w:rsid w:val="007158B1"/>
    <w:rsid w:val="00715C3C"/>
    <w:rsid w:val="00716267"/>
    <w:rsid w:val="00716505"/>
    <w:rsid w:val="00716C26"/>
    <w:rsid w:val="0071747F"/>
    <w:rsid w:val="00717666"/>
    <w:rsid w:val="00717A60"/>
    <w:rsid w:val="00717B14"/>
    <w:rsid w:val="00717C8B"/>
    <w:rsid w:val="00717DF2"/>
    <w:rsid w:val="00717FE2"/>
    <w:rsid w:val="007203B0"/>
    <w:rsid w:val="00720901"/>
    <w:rsid w:val="00720A93"/>
    <w:rsid w:val="00720AE1"/>
    <w:rsid w:val="00720CF2"/>
    <w:rsid w:val="00721076"/>
    <w:rsid w:val="00721243"/>
    <w:rsid w:val="0072176E"/>
    <w:rsid w:val="00721A07"/>
    <w:rsid w:val="00721C95"/>
    <w:rsid w:val="00721FE6"/>
    <w:rsid w:val="007220AB"/>
    <w:rsid w:val="0072219D"/>
    <w:rsid w:val="0072238D"/>
    <w:rsid w:val="007225A7"/>
    <w:rsid w:val="007227A7"/>
    <w:rsid w:val="00722F82"/>
    <w:rsid w:val="0072322A"/>
    <w:rsid w:val="0072390A"/>
    <w:rsid w:val="00723929"/>
    <w:rsid w:val="00723CF1"/>
    <w:rsid w:val="00723E75"/>
    <w:rsid w:val="007240BD"/>
    <w:rsid w:val="00725358"/>
    <w:rsid w:val="007254DE"/>
    <w:rsid w:val="0072584D"/>
    <w:rsid w:val="0072594B"/>
    <w:rsid w:val="007259D5"/>
    <w:rsid w:val="00725F3C"/>
    <w:rsid w:val="00726145"/>
    <w:rsid w:val="007263D2"/>
    <w:rsid w:val="0072678C"/>
    <w:rsid w:val="00726E5F"/>
    <w:rsid w:val="007270B6"/>
    <w:rsid w:val="00727151"/>
    <w:rsid w:val="00727A8C"/>
    <w:rsid w:val="00727B81"/>
    <w:rsid w:val="00727DC2"/>
    <w:rsid w:val="00727E55"/>
    <w:rsid w:val="007301AD"/>
    <w:rsid w:val="0073086B"/>
    <w:rsid w:val="00730C9A"/>
    <w:rsid w:val="00730E76"/>
    <w:rsid w:val="00731051"/>
    <w:rsid w:val="00731294"/>
    <w:rsid w:val="00731828"/>
    <w:rsid w:val="00731C62"/>
    <w:rsid w:val="00731E04"/>
    <w:rsid w:val="00731E6F"/>
    <w:rsid w:val="0073229A"/>
    <w:rsid w:val="007323E0"/>
    <w:rsid w:val="007324B3"/>
    <w:rsid w:val="007324BB"/>
    <w:rsid w:val="00732B4B"/>
    <w:rsid w:val="00732C0F"/>
    <w:rsid w:val="00732EB4"/>
    <w:rsid w:val="007337C2"/>
    <w:rsid w:val="00733872"/>
    <w:rsid w:val="00733FE1"/>
    <w:rsid w:val="00734461"/>
    <w:rsid w:val="0073485A"/>
    <w:rsid w:val="00734EF7"/>
    <w:rsid w:val="00735060"/>
    <w:rsid w:val="007352BA"/>
    <w:rsid w:val="00735754"/>
    <w:rsid w:val="00735805"/>
    <w:rsid w:val="00735C06"/>
    <w:rsid w:val="00735FB9"/>
    <w:rsid w:val="007363E6"/>
    <w:rsid w:val="0073645F"/>
    <w:rsid w:val="007365FF"/>
    <w:rsid w:val="0073667A"/>
    <w:rsid w:val="007367C1"/>
    <w:rsid w:val="00736914"/>
    <w:rsid w:val="00736973"/>
    <w:rsid w:val="00736EEA"/>
    <w:rsid w:val="00737030"/>
    <w:rsid w:val="007370B2"/>
    <w:rsid w:val="00737128"/>
    <w:rsid w:val="00737394"/>
    <w:rsid w:val="007374AE"/>
    <w:rsid w:val="00737A50"/>
    <w:rsid w:val="00737B68"/>
    <w:rsid w:val="00737DD7"/>
    <w:rsid w:val="007401E3"/>
    <w:rsid w:val="007410C0"/>
    <w:rsid w:val="00741B67"/>
    <w:rsid w:val="00741F97"/>
    <w:rsid w:val="007425CE"/>
    <w:rsid w:val="00742CFD"/>
    <w:rsid w:val="00743E66"/>
    <w:rsid w:val="007453FA"/>
    <w:rsid w:val="00745974"/>
    <w:rsid w:val="00745979"/>
    <w:rsid w:val="00745A12"/>
    <w:rsid w:val="00745EBD"/>
    <w:rsid w:val="007467A8"/>
    <w:rsid w:val="00746D11"/>
    <w:rsid w:val="00746D8E"/>
    <w:rsid w:val="0074700D"/>
    <w:rsid w:val="00747F86"/>
    <w:rsid w:val="00747FA9"/>
    <w:rsid w:val="00750234"/>
    <w:rsid w:val="00750248"/>
    <w:rsid w:val="00750941"/>
    <w:rsid w:val="00750E62"/>
    <w:rsid w:val="00751102"/>
    <w:rsid w:val="007524C6"/>
    <w:rsid w:val="00752A75"/>
    <w:rsid w:val="00752ADD"/>
    <w:rsid w:val="00752AE6"/>
    <w:rsid w:val="0075314C"/>
    <w:rsid w:val="00753531"/>
    <w:rsid w:val="0075387F"/>
    <w:rsid w:val="00753BED"/>
    <w:rsid w:val="00753FBC"/>
    <w:rsid w:val="00754828"/>
    <w:rsid w:val="007550F3"/>
    <w:rsid w:val="00755100"/>
    <w:rsid w:val="007551EF"/>
    <w:rsid w:val="00755283"/>
    <w:rsid w:val="007555FF"/>
    <w:rsid w:val="00755728"/>
    <w:rsid w:val="00755A50"/>
    <w:rsid w:val="007561E9"/>
    <w:rsid w:val="0075628B"/>
    <w:rsid w:val="0075657A"/>
    <w:rsid w:val="00756844"/>
    <w:rsid w:val="00756B44"/>
    <w:rsid w:val="00756C3C"/>
    <w:rsid w:val="00756CBA"/>
    <w:rsid w:val="00756FB2"/>
    <w:rsid w:val="00757127"/>
    <w:rsid w:val="007573E9"/>
    <w:rsid w:val="007575E5"/>
    <w:rsid w:val="007602C1"/>
    <w:rsid w:val="007607B8"/>
    <w:rsid w:val="007608C8"/>
    <w:rsid w:val="00760934"/>
    <w:rsid w:val="00760F47"/>
    <w:rsid w:val="00761402"/>
    <w:rsid w:val="00761434"/>
    <w:rsid w:val="00761475"/>
    <w:rsid w:val="007617F1"/>
    <w:rsid w:val="00761AF3"/>
    <w:rsid w:val="00762103"/>
    <w:rsid w:val="007623D9"/>
    <w:rsid w:val="00762908"/>
    <w:rsid w:val="00762A21"/>
    <w:rsid w:val="00762E2B"/>
    <w:rsid w:val="00762E58"/>
    <w:rsid w:val="0076367A"/>
    <w:rsid w:val="00763B13"/>
    <w:rsid w:val="00763D0B"/>
    <w:rsid w:val="00763DA5"/>
    <w:rsid w:val="00763E5A"/>
    <w:rsid w:val="00764494"/>
    <w:rsid w:val="00764859"/>
    <w:rsid w:val="00764B40"/>
    <w:rsid w:val="00765A45"/>
    <w:rsid w:val="00765B0B"/>
    <w:rsid w:val="00765E18"/>
    <w:rsid w:val="007662F8"/>
    <w:rsid w:val="007666B4"/>
    <w:rsid w:val="00766763"/>
    <w:rsid w:val="0076685D"/>
    <w:rsid w:val="00766A39"/>
    <w:rsid w:val="00766AB4"/>
    <w:rsid w:val="00766F51"/>
    <w:rsid w:val="007671E1"/>
    <w:rsid w:val="00767292"/>
    <w:rsid w:val="00767397"/>
    <w:rsid w:val="00767887"/>
    <w:rsid w:val="00767A71"/>
    <w:rsid w:val="00767C1A"/>
    <w:rsid w:val="00767DD0"/>
    <w:rsid w:val="00770605"/>
    <w:rsid w:val="0077065F"/>
    <w:rsid w:val="00770D61"/>
    <w:rsid w:val="007713C9"/>
    <w:rsid w:val="007714A7"/>
    <w:rsid w:val="00771906"/>
    <w:rsid w:val="0077194F"/>
    <w:rsid w:val="007719B0"/>
    <w:rsid w:val="00771AC9"/>
    <w:rsid w:val="00771DAA"/>
    <w:rsid w:val="007724EB"/>
    <w:rsid w:val="007727F0"/>
    <w:rsid w:val="00772C9E"/>
    <w:rsid w:val="00772DAD"/>
    <w:rsid w:val="00773094"/>
    <w:rsid w:val="007733B7"/>
    <w:rsid w:val="00773646"/>
    <w:rsid w:val="007738E5"/>
    <w:rsid w:val="00773AD1"/>
    <w:rsid w:val="007747F8"/>
    <w:rsid w:val="00774832"/>
    <w:rsid w:val="00774BB9"/>
    <w:rsid w:val="00774DBA"/>
    <w:rsid w:val="00774E23"/>
    <w:rsid w:val="0077558F"/>
    <w:rsid w:val="00775642"/>
    <w:rsid w:val="00775716"/>
    <w:rsid w:val="00775E2E"/>
    <w:rsid w:val="00776445"/>
    <w:rsid w:val="007764C2"/>
    <w:rsid w:val="007769B1"/>
    <w:rsid w:val="00776FD1"/>
    <w:rsid w:val="007774B5"/>
    <w:rsid w:val="00777911"/>
    <w:rsid w:val="007779FB"/>
    <w:rsid w:val="00777A00"/>
    <w:rsid w:val="00777B64"/>
    <w:rsid w:val="00777C65"/>
    <w:rsid w:val="00777C97"/>
    <w:rsid w:val="007801B1"/>
    <w:rsid w:val="0078024B"/>
    <w:rsid w:val="007808C0"/>
    <w:rsid w:val="0078107B"/>
    <w:rsid w:val="00781338"/>
    <w:rsid w:val="007813E3"/>
    <w:rsid w:val="0078147D"/>
    <w:rsid w:val="007819BE"/>
    <w:rsid w:val="00781ACD"/>
    <w:rsid w:val="00781E57"/>
    <w:rsid w:val="007823C3"/>
    <w:rsid w:val="00782654"/>
    <w:rsid w:val="00782A97"/>
    <w:rsid w:val="00782DA0"/>
    <w:rsid w:val="00782DBE"/>
    <w:rsid w:val="00782F27"/>
    <w:rsid w:val="00783113"/>
    <w:rsid w:val="0078324E"/>
    <w:rsid w:val="00783B63"/>
    <w:rsid w:val="00783B9C"/>
    <w:rsid w:val="00783EE3"/>
    <w:rsid w:val="0078444E"/>
    <w:rsid w:val="007845F2"/>
    <w:rsid w:val="00784B55"/>
    <w:rsid w:val="00784D6B"/>
    <w:rsid w:val="0078502E"/>
    <w:rsid w:val="007857F1"/>
    <w:rsid w:val="007864E4"/>
    <w:rsid w:val="007865BA"/>
    <w:rsid w:val="00786728"/>
    <w:rsid w:val="00786E5A"/>
    <w:rsid w:val="00786E8F"/>
    <w:rsid w:val="00786F0D"/>
    <w:rsid w:val="00786F90"/>
    <w:rsid w:val="00787011"/>
    <w:rsid w:val="00787477"/>
    <w:rsid w:val="00787552"/>
    <w:rsid w:val="00787571"/>
    <w:rsid w:val="00787744"/>
    <w:rsid w:val="007878D7"/>
    <w:rsid w:val="00787E56"/>
    <w:rsid w:val="00790305"/>
    <w:rsid w:val="0079037E"/>
    <w:rsid w:val="00790935"/>
    <w:rsid w:val="00790E54"/>
    <w:rsid w:val="0079103C"/>
    <w:rsid w:val="0079113A"/>
    <w:rsid w:val="007914EA"/>
    <w:rsid w:val="00791A32"/>
    <w:rsid w:val="00792366"/>
    <w:rsid w:val="007927D3"/>
    <w:rsid w:val="00792DCB"/>
    <w:rsid w:val="00792FB4"/>
    <w:rsid w:val="0079358E"/>
    <w:rsid w:val="00793C49"/>
    <w:rsid w:val="00793F61"/>
    <w:rsid w:val="00793F95"/>
    <w:rsid w:val="00794061"/>
    <w:rsid w:val="00794795"/>
    <w:rsid w:val="00794DE0"/>
    <w:rsid w:val="007954E4"/>
    <w:rsid w:val="007955DF"/>
    <w:rsid w:val="00795A3A"/>
    <w:rsid w:val="00795B19"/>
    <w:rsid w:val="00795BBD"/>
    <w:rsid w:val="00795D91"/>
    <w:rsid w:val="00796121"/>
    <w:rsid w:val="00796317"/>
    <w:rsid w:val="007964AC"/>
    <w:rsid w:val="007964D4"/>
    <w:rsid w:val="00796555"/>
    <w:rsid w:val="007965A4"/>
    <w:rsid w:val="00796976"/>
    <w:rsid w:val="00796C62"/>
    <w:rsid w:val="00796EC7"/>
    <w:rsid w:val="00796FA1"/>
    <w:rsid w:val="00797712"/>
    <w:rsid w:val="00797EA1"/>
    <w:rsid w:val="007A041E"/>
    <w:rsid w:val="007A0565"/>
    <w:rsid w:val="007A05DC"/>
    <w:rsid w:val="007A0653"/>
    <w:rsid w:val="007A06F8"/>
    <w:rsid w:val="007A0948"/>
    <w:rsid w:val="007A0A47"/>
    <w:rsid w:val="007A0D92"/>
    <w:rsid w:val="007A1363"/>
    <w:rsid w:val="007A15B3"/>
    <w:rsid w:val="007A1CD3"/>
    <w:rsid w:val="007A1DAE"/>
    <w:rsid w:val="007A3187"/>
    <w:rsid w:val="007A318F"/>
    <w:rsid w:val="007A32EF"/>
    <w:rsid w:val="007A3917"/>
    <w:rsid w:val="007A3B6C"/>
    <w:rsid w:val="007A455D"/>
    <w:rsid w:val="007A4D55"/>
    <w:rsid w:val="007A4D71"/>
    <w:rsid w:val="007A4EE5"/>
    <w:rsid w:val="007A50E0"/>
    <w:rsid w:val="007A54CE"/>
    <w:rsid w:val="007A5AF3"/>
    <w:rsid w:val="007A5C88"/>
    <w:rsid w:val="007A5D9F"/>
    <w:rsid w:val="007A61C2"/>
    <w:rsid w:val="007A61EF"/>
    <w:rsid w:val="007A6864"/>
    <w:rsid w:val="007A6FCA"/>
    <w:rsid w:val="007A766C"/>
    <w:rsid w:val="007A788B"/>
    <w:rsid w:val="007A7A30"/>
    <w:rsid w:val="007A7CB3"/>
    <w:rsid w:val="007A7D8D"/>
    <w:rsid w:val="007B0044"/>
    <w:rsid w:val="007B02CF"/>
    <w:rsid w:val="007B05A9"/>
    <w:rsid w:val="007B09DA"/>
    <w:rsid w:val="007B0ECD"/>
    <w:rsid w:val="007B0EE0"/>
    <w:rsid w:val="007B144A"/>
    <w:rsid w:val="007B1652"/>
    <w:rsid w:val="007B17F2"/>
    <w:rsid w:val="007B1800"/>
    <w:rsid w:val="007B199A"/>
    <w:rsid w:val="007B1B0A"/>
    <w:rsid w:val="007B1FE1"/>
    <w:rsid w:val="007B22FA"/>
    <w:rsid w:val="007B293D"/>
    <w:rsid w:val="007B2C4B"/>
    <w:rsid w:val="007B3196"/>
    <w:rsid w:val="007B3371"/>
    <w:rsid w:val="007B36A2"/>
    <w:rsid w:val="007B39B2"/>
    <w:rsid w:val="007B3D67"/>
    <w:rsid w:val="007B3F8C"/>
    <w:rsid w:val="007B4292"/>
    <w:rsid w:val="007B4293"/>
    <w:rsid w:val="007B5491"/>
    <w:rsid w:val="007B5BC3"/>
    <w:rsid w:val="007B608E"/>
    <w:rsid w:val="007B632C"/>
    <w:rsid w:val="007B6394"/>
    <w:rsid w:val="007B67D3"/>
    <w:rsid w:val="007B6AC4"/>
    <w:rsid w:val="007B6AF0"/>
    <w:rsid w:val="007B6B3C"/>
    <w:rsid w:val="007B6C82"/>
    <w:rsid w:val="007B6E4A"/>
    <w:rsid w:val="007B7390"/>
    <w:rsid w:val="007B7830"/>
    <w:rsid w:val="007B7AAD"/>
    <w:rsid w:val="007B7C56"/>
    <w:rsid w:val="007B7D61"/>
    <w:rsid w:val="007C01C6"/>
    <w:rsid w:val="007C02F7"/>
    <w:rsid w:val="007C05D8"/>
    <w:rsid w:val="007C0627"/>
    <w:rsid w:val="007C0A54"/>
    <w:rsid w:val="007C118F"/>
    <w:rsid w:val="007C1407"/>
    <w:rsid w:val="007C1454"/>
    <w:rsid w:val="007C1A00"/>
    <w:rsid w:val="007C1FA1"/>
    <w:rsid w:val="007C2635"/>
    <w:rsid w:val="007C2E0A"/>
    <w:rsid w:val="007C3505"/>
    <w:rsid w:val="007C3A64"/>
    <w:rsid w:val="007C3E3A"/>
    <w:rsid w:val="007C42AF"/>
    <w:rsid w:val="007C4583"/>
    <w:rsid w:val="007C45CC"/>
    <w:rsid w:val="007C46A5"/>
    <w:rsid w:val="007C4C80"/>
    <w:rsid w:val="007C4E8A"/>
    <w:rsid w:val="007C529B"/>
    <w:rsid w:val="007C5708"/>
    <w:rsid w:val="007C596F"/>
    <w:rsid w:val="007C5EF1"/>
    <w:rsid w:val="007C653A"/>
    <w:rsid w:val="007C66DA"/>
    <w:rsid w:val="007C672E"/>
    <w:rsid w:val="007C6F4D"/>
    <w:rsid w:val="007C78E1"/>
    <w:rsid w:val="007C7A00"/>
    <w:rsid w:val="007C7F33"/>
    <w:rsid w:val="007C7FED"/>
    <w:rsid w:val="007D032A"/>
    <w:rsid w:val="007D03B5"/>
    <w:rsid w:val="007D04F4"/>
    <w:rsid w:val="007D0662"/>
    <w:rsid w:val="007D09FB"/>
    <w:rsid w:val="007D0B39"/>
    <w:rsid w:val="007D0C6F"/>
    <w:rsid w:val="007D0CF4"/>
    <w:rsid w:val="007D10AA"/>
    <w:rsid w:val="007D113B"/>
    <w:rsid w:val="007D128B"/>
    <w:rsid w:val="007D14EF"/>
    <w:rsid w:val="007D16AE"/>
    <w:rsid w:val="007D17F9"/>
    <w:rsid w:val="007D1A2F"/>
    <w:rsid w:val="007D1A97"/>
    <w:rsid w:val="007D2263"/>
    <w:rsid w:val="007D22B9"/>
    <w:rsid w:val="007D2376"/>
    <w:rsid w:val="007D2514"/>
    <w:rsid w:val="007D2B34"/>
    <w:rsid w:val="007D2D9D"/>
    <w:rsid w:val="007D317B"/>
    <w:rsid w:val="007D32DC"/>
    <w:rsid w:val="007D3331"/>
    <w:rsid w:val="007D3371"/>
    <w:rsid w:val="007D3419"/>
    <w:rsid w:val="007D442E"/>
    <w:rsid w:val="007D462A"/>
    <w:rsid w:val="007D4647"/>
    <w:rsid w:val="007D4840"/>
    <w:rsid w:val="007D4B4E"/>
    <w:rsid w:val="007D4C7D"/>
    <w:rsid w:val="007D4E08"/>
    <w:rsid w:val="007D5294"/>
    <w:rsid w:val="007D53BB"/>
    <w:rsid w:val="007D55EB"/>
    <w:rsid w:val="007D5823"/>
    <w:rsid w:val="007D5CEC"/>
    <w:rsid w:val="007D6486"/>
    <w:rsid w:val="007D68DB"/>
    <w:rsid w:val="007D6BA7"/>
    <w:rsid w:val="007D6D6C"/>
    <w:rsid w:val="007D7803"/>
    <w:rsid w:val="007D7979"/>
    <w:rsid w:val="007D7BF1"/>
    <w:rsid w:val="007E01C0"/>
    <w:rsid w:val="007E01E2"/>
    <w:rsid w:val="007E0277"/>
    <w:rsid w:val="007E02A9"/>
    <w:rsid w:val="007E06CD"/>
    <w:rsid w:val="007E0CA8"/>
    <w:rsid w:val="007E15BA"/>
    <w:rsid w:val="007E17D0"/>
    <w:rsid w:val="007E17FD"/>
    <w:rsid w:val="007E18AD"/>
    <w:rsid w:val="007E1B6B"/>
    <w:rsid w:val="007E1D86"/>
    <w:rsid w:val="007E200C"/>
    <w:rsid w:val="007E21C4"/>
    <w:rsid w:val="007E2231"/>
    <w:rsid w:val="007E25D2"/>
    <w:rsid w:val="007E3039"/>
    <w:rsid w:val="007E33A5"/>
    <w:rsid w:val="007E386F"/>
    <w:rsid w:val="007E4079"/>
    <w:rsid w:val="007E4331"/>
    <w:rsid w:val="007E4B7F"/>
    <w:rsid w:val="007E4EE8"/>
    <w:rsid w:val="007E51F9"/>
    <w:rsid w:val="007E55DA"/>
    <w:rsid w:val="007E577A"/>
    <w:rsid w:val="007E57F8"/>
    <w:rsid w:val="007E58CE"/>
    <w:rsid w:val="007E634C"/>
    <w:rsid w:val="007E6507"/>
    <w:rsid w:val="007E6575"/>
    <w:rsid w:val="007E6710"/>
    <w:rsid w:val="007E699E"/>
    <w:rsid w:val="007E6C6A"/>
    <w:rsid w:val="007E718D"/>
    <w:rsid w:val="007E73CF"/>
    <w:rsid w:val="007E74F6"/>
    <w:rsid w:val="007E7567"/>
    <w:rsid w:val="007E7818"/>
    <w:rsid w:val="007E7B10"/>
    <w:rsid w:val="007E7D5C"/>
    <w:rsid w:val="007E7E9C"/>
    <w:rsid w:val="007E7EBD"/>
    <w:rsid w:val="007F00F8"/>
    <w:rsid w:val="007F090D"/>
    <w:rsid w:val="007F11AD"/>
    <w:rsid w:val="007F1771"/>
    <w:rsid w:val="007F17CE"/>
    <w:rsid w:val="007F1C47"/>
    <w:rsid w:val="007F1CAB"/>
    <w:rsid w:val="007F22AF"/>
    <w:rsid w:val="007F2A7D"/>
    <w:rsid w:val="007F2AD4"/>
    <w:rsid w:val="007F2C6D"/>
    <w:rsid w:val="007F2DB3"/>
    <w:rsid w:val="007F31FC"/>
    <w:rsid w:val="007F3376"/>
    <w:rsid w:val="007F345A"/>
    <w:rsid w:val="007F35A2"/>
    <w:rsid w:val="007F371F"/>
    <w:rsid w:val="007F37FD"/>
    <w:rsid w:val="007F40ED"/>
    <w:rsid w:val="007F45CF"/>
    <w:rsid w:val="007F4AD2"/>
    <w:rsid w:val="007F4F8D"/>
    <w:rsid w:val="007F533A"/>
    <w:rsid w:val="007F58F6"/>
    <w:rsid w:val="007F5A0B"/>
    <w:rsid w:val="007F5D73"/>
    <w:rsid w:val="007F5E7E"/>
    <w:rsid w:val="007F618F"/>
    <w:rsid w:val="007F661B"/>
    <w:rsid w:val="007F6890"/>
    <w:rsid w:val="007F6AB4"/>
    <w:rsid w:val="007F6F5F"/>
    <w:rsid w:val="007F6F7C"/>
    <w:rsid w:val="007F70AE"/>
    <w:rsid w:val="007F77E6"/>
    <w:rsid w:val="007F797B"/>
    <w:rsid w:val="007F7CD6"/>
    <w:rsid w:val="007F7F4B"/>
    <w:rsid w:val="00800532"/>
    <w:rsid w:val="008005F8"/>
    <w:rsid w:val="008006F8"/>
    <w:rsid w:val="00800981"/>
    <w:rsid w:val="008009B1"/>
    <w:rsid w:val="00800A2F"/>
    <w:rsid w:val="00800C9E"/>
    <w:rsid w:val="00800CA7"/>
    <w:rsid w:val="00801163"/>
    <w:rsid w:val="008015B7"/>
    <w:rsid w:val="008015EE"/>
    <w:rsid w:val="008015FF"/>
    <w:rsid w:val="00801A7A"/>
    <w:rsid w:val="00801BF5"/>
    <w:rsid w:val="00801CDC"/>
    <w:rsid w:val="00801DFE"/>
    <w:rsid w:val="00801E8F"/>
    <w:rsid w:val="008020E5"/>
    <w:rsid w:val="008029C1"/>
    <w:rsid w:val="00802DC7"/>
    <w:rsid w:val="00803353"/>
    <w:rsid w:val="00803B7F"/>
    <w:rsid w:val="00803BC4"/>
    <w:rsid w:val="00803ED2"/>
    <w:rsid w:val="008041A3"/>
    <w:rsid w:val="00804592"/>
    <w:rsid w:val="0080479A"/>
    <w:rsid w:val="0080491E"/>
    <w:rsid w:val="008050DA"/>
    <w:rsid w:val="0080514B"/>
    <w:rsid w:val="008052FF"/>
    <w:rsid w:val="00805630"/>
    <w:rsid w:val="00805891"/>
    <w:rsid w:val="00805AE3"/>
    <w:rsid w:val="00806184"/>
    <w:rsid w:val="00806682"/>
    <w:rsid w:val="008066B5"/>
    <w:rsid w:val="00806A31"/>
    <w:rsid w:val="00806D5F"/>
    <w:rsid w:val="00807BF0"/>
    <w:rsid w:val="00807C0B"/>
    <w:rsid w:val="00807DA6"/>
    <w:rsid w:val="00807DDF"/>
    <w:rsid w:val="00807E3F"/>
    <w:rsid w:val="0081003C"/>
    <w:rsid w:val="008100CE"/>
    <w:rsid w:val="0081016B"/>
    <w:rsid w:val="00810373"/>
    <w:rsid w:val="0081045C"/>
    <w:rsid w:val="00810B2A"/>
    <w:rsid w:val="00810E3B"/>
    <w:rsid w:val="008111C0"/>
    <w:rsid w:val="0081125B"/>
    <w:rsid w:val="008112D6"/>
    <w:rsid w:val="008113E1"/>
    <w:rsid w:val="008114D2"/>
    <w:rsid w:val="00811789"/>
    <w:rsid w:val="00811E1D"/>
    <w:rsid w:val="0081203F"/>
    <w:rsid w:val="00812054"/>
    <w:rsid w:val="0081207D"/>
    <w:rsid w:val="008128FE"/>
    <w:rsid w:val="00812A9A"/>
    <w:rsid w:val="00812C00"/>
    <w:rsid w:val="00812DF7"/>
    <w:rsid w:val="00813163"/>
    <w:rsid w:val="008132E2"/>
    <w:rsid w:val="00813455"/>
    <w:rsid w:val="00813639"/>
    <w:rsid w:val="00813F2F"/>
    <w:rsid w:val="00813FB1"/>
    <w:rsid w:val="00814436"/>
    <w:rsid w:val="00814532"/>
    <w:rsid w:val="0081472C"/>
    <w:rsid w:val="008148F9"/>
    <w:rsid w:val="00815D99"/>
    <w:rsid w:val="00815F1E"/>
    <w:rsid w:val="00815FAE"/>
    <w:rsid w:val="00816082"/>
    <w:rsid w:val="008164D9"/>
    <w:rsid w:val="00816EC3"/>
    <w:rsid w:val="0081707E"/>
    <w:rsid w:val="008170A1"/>
    <w:rsid w:val="008172CF"/>
    <w:rsid w:val="00817496"/>
    <w:rsid w:val="008175C8"/>
    <w:rsid w:val="00817D4A"/>
    <w:rsid w:val="00817FB1"/>
    <w:rsid w:val="008201C7"/>
    <w:rsid w:val="00820368"/>
    <w:rsid w:val="00820409"/>
    <w:rsid w:val="00820749"/>
    <w:rsid w:val="008210B9"/>
    <w:rsid w:val="00821950"/>
    <w:rsid w:val="00821A27"/>
    <w:rsid w:val="00821FA6"/>
    <w:rsid w:val="008221F0"/>
    <w:rsid w:val="008224B2"/>
    <w:rsid w:val="00822AC4"/>
    <w:rsid w:val="00822C1B"/>
    <w:rsid w:val="00822DCD"/>
    <w:rsid w:val="00822F23"/>
    <w:rsid w:val="0082300A"/>
    <w:rsid w:val="008234E6"/>
    <w:rsid w:val="008236F8"/>
    <w:rsid w:val="00823E0F"/>
    <w:rsid w:val="00823F7E"/>
    <w:rsid w:val="0082432A"/>
    <w:rsid w:val="0082486A"/>
    <w:rsid w:val="00824A9C"/>
    <w:rsid w:val="00824F7F"/>
    <w:rsid w:val="00825080"/>
    <w:rsid w:val="00825226"/>
    <w:rsid w:val="00825290"/>
    <w:rsid w:val="00825414"/>
    <w:rsid w:val="00825465"/>
    <w:rsid w:val="008255BE"/>
    <w:rsid w:val="00825627"/>
    <w:rsid w:val="008258A2"/>
    <w:rsid w:val="00825969"/>
    <w:rsid w:val="00825A13"/>
    <w:rsid w:val="00825CBD"/>
    <w:rsid w:val="00825DE1"/>
    <w:rsid w:val="008261F1"/>
    <w:rsid w:val="00826286"/>
    <w:rsid w:val="008262E2"/>
    <w:rsid w:val="00826408"/>
    <w:rsid w:val="00826C47"/>
    <w:rsid w:val="00826D72"/>
    <w:rsid w:val="00826E32"/>
    <w:rsid w:val="00826E40"/>
    <w:rsid w:val="00826F7E"/>
    <w:rsid w:val="00826FDB"/>
    <w:rsid w:val="0082750F"/>
    <w:rsid w:val="00827A6C"/>
    <w:rsid w:val="00827E56"/>
    <w:rsid w:val="0083025A"/>
    <w:rsid w:val="00830335"/>
    <w:rsid w:val="00830D25"/>
    <w:rsid w:val="00831072"/>
    <w:rsid w:val="008310DE"/>
    <w:rsid w:val="0083155B"/>
    <w:rsid w:val="00831969"/>
    <w:rsid w:val="00831AD5"/>
    <w:rsid w:val="00831D5D"/>
    <w:rsid w:val="0083297A"/>
    <w:rsid w:val="008338DD"/>
    <w:rsid w:val="00833D70"/>
    <w:rsid w:val="00833DAC"/>
    <w:rsid w:val="0083415D"/>
    <w:rsid w:val="00834598"/>
    <w:rsid w:val="00834705"/>
    <w:rsid w:val="00834B3F"/>
    <w:rsid w:val="00834CA6"/>
    <w:rsid w:val="0083523F"/>
    <w:rsid w:val="0083532A"/>
    <w:rsid w:val="008353CB"/>
    <w:rsid w:val="0083566E"/>
    <w:rsid w:val="008357EA"/>
    <w:rsid w:val="00835CB1"/>
    <w:rsid w:val="00835FC8"/>
    <w:rsid w:val="00836072"/>
    <w:rsid w:val="008363D5"/>
    <w:rsid w:val="0083692E"/>
    <w:rsid w:val="00836BD7"/>
    <w:rsid w:val="00836EBF"/>
    <w:rsid w:val="0083739F"/>
    <w:rsid w:val="008376AF"/>
    <w:rsid w:val="00837833"/>
    <w:rsid w:val="00837B9C"/>
    <w:rsid w:val="0084042D"/>
    <w:rsid w:val="00840799"/>
    <w:rsid w:val="00840A0C"/>
    <w:rsid w:val="00840D29"/>
    <w:rsid w:val="00841166"/>
    <w:rsid w:val="008411C5"/>
    <w:rsid w:val="00841215"/>
    <w:rsid w:val="0084192B"/>
    <w:rsid w:val="00841A4F"/>
    <w:rsid w:val="00841B5B"/>
    <w:rsid w:val="00841E33"/>
    <w:rsid w:val="00842471"/>
    <w:rsid w:val="008425E6"/>
    <w:rsid w:val="008426D5"/>
    <w:rsid w:val="00842EB3"/>
    <w:rsid w:val="008431BE"/>
    <w:rsid w:val="00843339"/>
    <w:rsid w:val="00843677"/>
    <w:rsid w:val="008439F2"/>
    <w:rsid w:val="00843E93"/>
    <w:rsid w:val="00843FDA"/>
    <w:rsid w:val="0084401B"/>
    <w:rsid w:val="0084421A"/>
    <w:rsid w:val="008443C9"/>
    <w:rsid w:val="0084495A"/>
    <w:rsid w:val="008459A6"/>
    <w:rsid w:val="00845A44"/>
    <w:rsid w:val="008460F2"/>
    <w:rsid w:val="00846441"/>
    <w:rsid w:val="008464AB"/>
    <w:rsid w:val="0084681A"/>
    <w:rsid w:val="00846A03"/>
    <w:rsid w:val="00846AA5"/>
    <w:rsid w:val="00846C9D"/>
    <w:rsid w:val="00846E81"/>
    <w:rsid w:val="0084704C"/>
    <w:rsid w:val="00847A98"/>
    <w:rsid w:val="00847C72"/>
    <w:rsid w:val="008506D1"/>
    <w:rsid w:val="008507E4"/>
    <w:rsid w:val="00850A80"/>
    <w:rsid w:val="00850EF0"/>
    <w:rsid w:val="008510DF"/>
    <w:rsid w:val="008517AE"/>
    <w:rsid w:val="00851BB8"/>
    <w:rsid w:val="00851FA6"/>
    <w:rsid w:val="00852641"/>
    <w:rsid w:val="00852C5B"/>
    <w:rsid w:val="00852DCB"/>
    <w:rsid w:val="00853211"/>
    <w:rsid w:val="00853483"/>
    <w:rsid w:val="00853926"/>
    <w:rsid w:val="0085393B"/>
    <w:rsid w:val="00853A8E"/>
    <w:rsid w:val="00853B17"/>
    <w:rsid w:val="00854313"/>
    <w:rsid w:val="008543A3"/>
    <w:rsid w:val="00854430"/>
    <w:rsid w:val="00854C58"/>
    <w:rsid w:val="00854C95"/>
    <w:rsid w:val="008550A1"/>
    <w:rsid w:val="008551C3"/>
    <w:rsid w:val="008559EC"/>
    <w:rsid w:val="00855B67"/>
    <w:rsid w:val="00855F8D"/>
    <w:rsid w:val="00856429"/>
    <w:rsid w:val="00856716"/>
    <w:rsid w:val="00856BBB"/>
    <w:rsid w:val="0085778E"/>
    <w:rsid w:val="008577D0"/>
    <w:rsid w:val="0085790C"/>
    <w:rsid w:val="00860014"/>
    <w:rsid w:val="0086086F"/>
    <w:rsid w:val="00860A22"/>
    <w:rsid w:val="00860B0B"/>
    <w:rsid w:val="00860DDC"/>
    <w:rsid w:val="00861115"/>
    <w:rsid w:val="00861228"/>
    <w:rsid w:val="008614AA"/>
    <w:rsid w:val="008615D8"/>
    <w:rsid w:val="00861741"/>
    <w:rsid w:val="00862183"/>
    <w:rsid w:val="00862758"/>
    <w:rsid w:val="00862CEB"/>
    <w:rsid w:val="00862F3E"/>
    <w:rsid w:val="0086369E"/>
    <w:rsid w:val="00863843"/>
    <w:rsid w:val="00863C7A"/>
    <w:rsid w:val="00863CA3"/>
    <w:rsid w:val="00863D61"/>
    <w:rsid w:val="00863F22"/>
    <w:rsid w:val="0086456B"/>
    <w:rsid w:val="00864AC6"/>
    <w:rsid w:val="00864EAA"/>
    <w:rsid w:val="0086525F"/>
    <w:rsid w:val="008655A6"/>
    <w:rsid w:val="008656C3"/>
    <w:rsid w:val="00865BC4"/>
    <w:rsid w:val="00865E9D"/>
    <w:rsid w:val="00865EEE"/>
    <w:rsid w:val="0086619F"/>
    <w:rsid w:val="00866870"/>
    <w:rsid w:val="00866DF6"/>
    <w:rsid w:val="00866F74"/>
    <w:rsid w:val="00866FD6"/>
    <w:rsid w:val="00867668"/>
    <w:rsid w:val="0086799B"/>
    <w:rsid w:val="00867BED"/>
    <w:rsid w:val="00867DCB"/>
    <w:rsid w:val="0087037B"/>
    <w:rsid w:val="0087049B"/>
    <w:rsid w:val="00870584"/>
    <w:rsid w:val="00870AE2"/>
    <w:rsid w:val="00870C46"/>
    <w:rsid w:val="00870CA0"/>
    <w:rsid w:val="00870F19"/>
    <w:rsid w:val="00870F81"/>
    <w:rsid w:val="008714C9"/>
    <w:rsid w:val="00871B73"/>
    <w:rsid w:val="00871C5A"/>
    <w:rsid w:val="00871C77"/>
    <w:rsid w:val="00871E47"/>
    <w:rsid w:val="008722CA"/>
    <w:rsid w:val="008724A1"/>
    <w:rsid w:val="008728B6"/>
    <w:rsid w:val="008728F8"/>
    <w:rsid w:val="00872B55"/>
    <w:rsid w:val="00872BB6"/>
    <w:rsid w:val="008730E8"/>
    <w:rsid w:val="0087336C"/>
    <w:rsid w:val="008739A6"/>
    <w:rsid w:val="00873C5B"/>
    <w:rsid w:val="00874179"/>
    <w:rsid w:val="00874531"/>
    <w:rsid w:val="00875526"/>
    <w:rsid w:val="00875685"/>
    <w:rsid w:val="0087573F"/>
    <w:rsid w:val="00875815"/>
    <w:rsid w:val="00875835"/>
    <w:rsid w:val="0087583A"/>
    <w:rsid w:val="00875D91"/>
    <w:rsid w:val="00875DBE"/>
    <w:rsid w:val="0087648C"/>
    <w:rsid w:val="008764BB"/>
    <w:rsid w:val="008765CD"/>
    <w:rsid w:val="008769E2"/>
    <w:rsid w:val="00876C63"/>
    <w:rsid w:val="00876D94"/>
    <w:rsid w:val="00877627"/>
    <w:rsid w:val="00877703"/>
    <w:rsid w:val="00877789"/>
    <w:rsid w:val="00877BBB"/>
    <w:rsid w:val="00877C91"/>
    <w:rsid w:val="0088045E"/>
    <w:rsid w:val="0088050E"/>
    <w:rsid w:val="008806EF"/>
    <w:rsid w:val="00880827"/>
    <w:rsid w:val="00881007"/>
    <w:rsid w:val="0088122E"/>
    <w:rsid w:val="008813A4"/>
    <w:rsid w:val="008815CA"/>
    <w:rsid w:val="008817A0"/>
    <w:rsid w:val="00881D41"/>
    <w:rsid w:val="00882178"/>
    <w:rsid w:val="0088237B"/>
    <w:rsid w:val="0088238F"/>
    <w:rsid w:val="0088253B"/>
    <w:rsid w:val="00882592"/>
    <w:rsid w:val="00882C85"/>
    <w:rsid w:val="00882DB5"/>
    <w:rsid w:val="00883188"/>
    <w:rsid w:val="008835D7"/>
    <w:rsid w:val="0088369E"/>
    <w:rsid w:val="008842C5"/>
    <w:rsid w:val="00884730"/>
    <w:rsid w:val="00884C54"/>
    <w:rsid w:val="00884CD8"/>
    <w:rsid w:val="00884DAF"/>
    <w:rsid w:val="00885023"/>
    <w:rsid w:val="0088532B"/>
    <w:rsid w:val="0088548E"/>
    <w:rsid w:val="00885772"/>
    <w:rsid w:val="0088581C"/>
    <w:rsid w:val="008858B1"/>
    <w:rsid w:val="00885CDF"/>
    <w:rsid w:val="00885D54"/>
    <w:rsid w:val="00885E52"/>
    <w:rsid w:val="0088658D"/>
    <w:rsid w:val="0088689B"/>
    <w:rsid w:val="00886926"/>
    <w:rsid w:val="00886A74"/>
    <w:rsid w:val="00886B90"/>
    <w:rsid w:val="00886BBB"/>
    <w:rsid w:val="00886BD7"/>
    <w:rsid w:val="00886C19"/>
    <w:rsid w:val="008873C4"/>
    <w:rsid w:val="008876FF"/>
    <w:rsid w:val="00887A0E"/>
    <w:rsid w:val="00887ADC"/>
    <w:rsid w:val="00887D02"/>
    <w:rsid w:val="00887E5C"/>
    <w:rsid w:val="00887E6D"/>
    <w:rsid w:val="0089054E"/>
    <w:rsid w:val="008907C4"/>
    <w:rsid w:val="00890AB5"/>
    <w:rsid w:val="00890B2A"/>
    <w:rsid w:val="00890C8B"/>
    <w:rsid w:val="00890FB0"/>
    <w:rsid w:val="008910F4"/>
    <w:rsid w:val="00891135"/>
    <w:rsid w:val="00891304"/>
    <w:rsid w:val="0089138F"/>
    <w:rsid w:val="00891411"/>
    <w:rsid w:val="008917D5"/>
    <w:rsid w:val="00891D51"/>
    <w:rsid w:val="00891E9C"/>
    <w:rsid w:val="00892065"/>
    <w:rsid w:val="00892855"/>
    <w:rsid w:val="00893545"/>
    <w:rsid w:val="0089359E"/>
    <w:rsid w:val="0089395D"/>
    <w:rsid w:val="00893B12"/>
    <w:rsid w:val="00893CFF"/>
    <w:rsid w:val="00894102"/>
    <w:rsid w:val="0089442E"/>
    <w:rsid w:val="00894592"/>
    <w:rsid w:val="00894AE7"/>
    <w:rsid w:val="00894D26"/>
    <w:rsid w:val="0089500D"/>
    <w:rsid w:val="00895041"/>
    <w:rsid w:val="008955EC"/>
    <w:rsid w:val="00895670"/>
    <w:rsid w:val="00895688"/>
    <w:rsid w:val="008956C8"/>
    <w:rsid w:val="008957FA"/>
    <w:rsid w:val="00896228"/>
    <w:rsid w:val="00896882"/>
    <w:rsid w:val="00896939"/>
    <w:rsid w:val="0089699D"/>
    <w:rsid w:val="00896BF7"/>
    <w:rsid w:val="00896D8C"/>
    <w:rsid w:val="008972B6"/>
    <w:rsid w:val="0089777F"/>
    <w:rsid w:val="00897B49"/>
    <w:rsid w:val="008A00DD"/>
    <w:rsid w:val="008A0882"/>
    <w:rsid w:val="008A0962"/>
    <w:rsid w:val="008A0C36"/>
    <w:rsid w:val="008A0DD3"/>
    <w:rsid w:val="008A0F3F"/>
    <w:rsid w:val="008A0F88"/>
    <w:rsid w:val="008A118A"/>
    <w:rsid w:val="008A1504"/>
    <w:rsid w:val="008A1540"/>
    <w:rsid w:val="008A1741"/>
    <w:rsid w:val="008A1A63"/>
    <w:rsid w:val="008A21B3"/>
    <w:rsid w:val="008A26AE"/>
    <w:rsid w:val="008A26C5"/>
    <w:rsid w:val="008A28E7"/>
    <w:rsid w:val="008A2CBB"/>
    <w:rsid w:val="008A2FF6"/>
    <w:rsid w:val="008A3329"/>
    <w:rsid w:val="008A3360"/>
    <w:rsid w:val="008A3EDB"/>
    <w:rsid w:val="008A41E0"/>
    <w:rsid w:val="008A41ED"/>
    <w:rsid w:val="008A449A"/>
    <w:rsid w:val="008A4550"/>
    <w:rsid w:val="008A4648"/>
    <w:rsid w:val="008A486D"/>
    <w:rsid w:val="008A4B18"/>
    <w:rsid w:val="008A4D62"/>
    <w:rsid w:val="008A5049"/>
    <w:rsid w:val="008A51CB"/>
    <w:rsid w:val="008A55F8"/>
    <w:rsid w:val="008A5AFC"/>
    <w:rsid w:val="008A5F43"/>
    <w:rsid w:val="008A60ED"/>
    <w:rsid w:val="008A6116"/>
    <w:rsid w:val="008A6159"/>
    <w:rsid w:val="008A6433"/>
    <w:rsid w:val="008A6675"/>
    <w:rsid w:val="008A671F"/>
    <w:rsid w:val="008A6A8A"/>
    <w:rsid w:val="008A6D7C"/>
    <w:rsid w:val="008A6DCE"/>
    <w:rsid w:val="008A6E46"/>
    <w:rsid w:val="008A6F04"/>
    <w:rsid w:val="008A700B"/>
    <w:rsid w:val="008A722C"/>
    <w:rsid w:val="008A7DDE"/>
    <w:rsid w:val="008B0280"/>
    <w:rsid w:val="008B02BE"/>
    <w:rsid w:val="008B03EA"/>
    <w:rsid w:val="008B0D3D"/>
    <w:rsid w:val="008B0DA1"/>
    <w:rsid w:val="008B0E14"/>
    <w:rsid w:val="008B1064"/>
    <w:rsid w:val="008B15E4"/>
    <w:rsid w:val="008B1609"/>
    <w:rsid w:val="008B1656"/>
    <w:rsid w:val="008B1776"/>
    <w:rsid w:val="008B1A56"/>
    <w:rsid w:val="008B1B7A"/>
    <w:rsid w:val="008B1F88"/>
    <w:rsid w:val="008B2024"/>
    <w:rsid w:val="008B2672"/>
    <w:rsid w:val="008B2B82"/>
    <w:rsid w:val="008B2C7A"/>
    <w:rsid w:val="008B2F2F"/>
    <w:rsid w:val="008B3065"/>
    <w:rsid w:val="008B3239"/>
    <w:rsid w:val="008B3264"/>
    <w:rsid w:val="008B3285"/>
    <w:rsid w:val="008B33EE"/>
    <w:rsid w:val="008B467D"/>
    <w:rsid w:val="008B4774"/>
    <w:rsid w:val="008B47D7"/>
    <w:rsid w:val="008B488B"/>
    <w:rsid w:val="008B4B9A"/>
    <w:rsid w:val="008B4C0C"/>
    <w:rsid w:val="008B562A"/>
    <w:rsid w:val="008B57D0"/>
    <w:rsid w:val="008B5ECE"/>
    <w:rsid w:val="008B61F0"/>
    <w:rsid w:val="008B63C4"/>
    <w:rsid w:val="008B6852"/>
    <w:rsid w:val="008B6D87"/>
    <w:rsid w:val="008B722C"/>
    <w:rsid w:val="008B73A1"/>
    <w:rsid w:val="008B7492"/>
    <w:rsid w:val="008B76AD"/>
    <w:rsid w:val="008B7B77"/>
    <w:rsid w:val="008B7BF0"/>
    <w:rsid w:val="008B7E5C"/>
    <w:rsid w:val="008C0A56"/>
    <w:rsid w:val="008C0C33"/>
    <w:rsid w:val="008C0CB4"/>
    <w:rsid w:val="008C1311"/>
    <w:rsid w:val="008C1C4C"/>
    <w:rsid w:val="008C1EEB"/>
    <w:rsid w:val="008C1FDB"/>
    <w:rsid w:val="008C224E"/>
    <w:rsid w:val="008C2573"/>
    <w:rsid w:val="008C26D2"/>
    <w:rsid w:val="008C26EE"/>
    <w:rsid w:val="008C296F"/>
    <w:rsid w:val="008C2D9F"/>
    <w:rsid w:val="008C2E55"/>
    <w:rsid w:val="008C2E8A"/>
    <w:rsid w:val="008C37A6"/>
    <w:rsid w:val="008C3820"/>
    <w:rsid w:val="008C3AB5"/>
    <w:rsid w:val="008C3B1F"/>
    <w:rsid w:val="008C411A"/>
    <w:rsid w:val="008C42A1"/>
    <w:rsid w:val="008C4440"/>
    <w:rsid w:val="008C45F0"/>
    <w:rsid w:val="008C465A"/>
    <w:rsid w:val="008C4BC4"/>
    <w:rsid w:val="008C4C46"/>
    <w:rsid w:val="008C4D0F"/>
    <w:rsid w:val="008C4D64"/>
    <w:rsid w:val="008C5212"/>
    <w:rsid w:val="008C52E5"/>
    <w:rsid w:val="008C54FF"/>
    <w:rsid w:val="008C571A"/>
    <w:rsid w:val="008C594D"/>
    <w:rsid w:val="008C6523"/>
    <w:rsid w:val="008C751B"/>
    <w:rsid w:val="008C77E2"/>
    <w:rsid w:val="008C77EE"/>
    <w:rsid w:val="008C79F1"/>
    <w:rsid w:val="008D01DC"/>
    <w:rsid w:val="008D058C"/>
    <w:rsid w:val="008D0A41"/>
    <w:rsid w:val="008D0F60"/>
    <w:rsid w:val="008D112F"/>
    <w:rsid w:val="008D1600"/>
    <w:rsid w:val="008D16D4"/>
    <w:rsid w:val="008D195D"/>
    <w:rsid w:val="008D1978"/>
    <w:rsid w:val="008D1AF0"/>
    <w:rsid w:val="008D1C3B"/>
    <w:rsid w:val="008D20BC"/>
    <w:rsid w:val="008D2BBF"/>
    <w:rsid w:val="008D2F2A"/>
    <w:rsid w:val="008D30B5"/>
    <w:rsid w:val="008D3211"/>
    <w:rsid w:val="008D3447"/>
    <w:rsid w:val="008D3579"/>
    <w:rsid w:val="008D3656"/>
    <w:rsid w:val="008D39E5"/>
    <w:rsid w:val="008D3BE8"/>
    <w:rsid w:val="008D3C82"/>
    <w:rsid w:val="008D3EE1"/>
    <w:rsid w:val="008D4674"/>
    <w:rsid w:val="008D4714"/>
    <w:rsid w:val="008D49FA"/>
    <w:rsid w:val="008D4B9F"/>
    <w:rsid w:val="008D4C7C"/>
    <w:rsid w:val="008D4D17"/>
    <w:rsid w:val="008D4DB5"/>
    <w:rsid w:val="008D4DF4"/>
    <w:rsid w:val="008D512F"/>
    <w:rsid w:val="008D514A"/>
    <w:rsid w:val="008D53DF"/>
    <w:rsid w:val="008D5499"/>
    <w:rsid w:val="008D553D"/>
    <w:rsid w:val="008D5972"/>
    <w:rsid w:val="008D5A05"/>
    <w:rsid w:val="008D5C4E"/>
    <w:rsid w:val="008D5D08"/>
    <w:rsid w:val="008D5F96"/>
    <w:rsid w:val="008D6009"/>
    <w:rsid w:val="008D654F"/>
    <w:rsid w:val="008D6709"/>
    <w:rsid w:val="008D69FC"/>
    <w:rsid w:val="008D6DB3"/>
    <w:rsid w:val="008D718D"/>
    <w:rsid w:val="008D78C3"/>
    <w:rsid w:val="008D79D3"/>
    <w:rsid w:val="008D7C3E"/>
    <w:rsid w:val="008D7D2B"/>
    <w:rsid w:val="008D7EEB"/>
    <w:rsid w:val="008E0238"/>
    <w:rsid w:val="008E0249"/>
    <w:rsid w:val="008E0F86"/>
    <w:rsid w:val="008E0FF0"/>
    <w:rsid w:val="008E151A"/>
    <w:rsid w:val="008E1772"/>
    <w:rsid w:val="008E1A4D"/>
    <w:rsid w:val="008E1D5D"/>
    <w:rsid w:val="008E21AE"/>
    <w:rsid w:val="008E2803"/>
    <w:rsid w:val="008E2A0E"/>
    <w:rsid w:val="008E2B61"/>
    <w:rsid w:val="008E2C32"/>
    <w:rsid w:val="008E3627"/>
    <w:rsid w:val="008E3840"/>
    <w:rsid w:val="008E38A6"/>
    <w:rsid w:val="008E3F8B"/>
    <w:rsid w:val="008E420C"/>
    <w:rsid w:val="008E4230"/>
    <w:rsid w:val="008E435E"/>
    <w:rsid w:val="008E44BC"/>
    <w:rsid w:val="008E4797"/>
    <w:rsid w:val="008E4969"/>
    <w:rsid w:val="008E4C42"/>
    <w:rsid w:val="008E4F8C"/>
    <w:rsid w:val="008E516C"/>
    <w:rsid w:val="008E521B"/>
    <w:rsid w:val="008E53E4"/>
    <w:rsid w:val="008E58E5"/>
    <w:rsid w:val="008E590F"/>
    <w:rsid w:val="008E5B39"/>
    <w:rsid w:val="008E5B77"/>
    <w:rsid w:val="008E5F1B"/>
    <w:rsid w:val="008E671B"/>
    <w:rsid w:val="008E6826"/>
    <w:rsid w:val="008E68A5"/>
    <w:rsid w:val="008E6FCC"/>
    <w:rsid w:val="008E72A1"/>
    <w:rsid w:val="008E74DC"/>
    <w:rsid w:val="008E7595"/>
    <w:rsid w:val="008E7649"/>
    <w:rsid w:val="008E7665"/>
    <w:rsid w:val="008E7700"/>
    <w:rsid w:val="008F06AE"/>
    <w:rsid w:val="008F10DD"/>
    <w:rsid w:val="008F12DA"/>
    <w:rsid w:val="008F14BD"/>
    <w:rsid w:val="008F1624"/>
    <w:rsid w:val="008F1C52"/>
    <w:rsid w:val="008F1D16"/>
    <w:rsid w:val="008F1E1B"/>
    <w:rsid w:val="008F1F4B"/>
    <w:rsid w:val="008F217B"/>
    <w:rsid w:val="008F2409"/>
    <w:rsid w:val="008F2BB2"/>
    <w:rsid w:val="008F2CC4"/>
    <w:rsid w:val="008F3551"/>
    <w:rsid w:val="008F37E3"/>
    <w:rsid w:val="008F412E"/>
    <w:rsid w:val="008F47CF"/>
    <w:rsid w:val="008F4936"/>
    <w:rsid w:val="008F4B7E"/>
    <w:rsid w:val="008F4EA4"/>
    <w:rsid w:val="008F6187"/>
    <w:rsid w:val="008F6456"/>
    <w:rsid w:val="008F64CB"/>
    <w:rsid w:val="008F6AC9"/>
    <w:rsid w:val="008F6BEC"/>
    <w:rsid w:val="008F74D9"/>
    <w:rsid w:val="008F759C"/>
    <w:rsid w:val="008F77FC"/>
    <w:rsid w:val="008F7BC3"/>
    <w:rsid w:val="008F7F33"/>
    <w:rsid w:val="00900288"/>
    <w:rsid w:val="00900D6E"/>
    <w:rsid w:val="00900EB7"/>
    <w:rsid w:val="00900EFE"/>
    <w:rsid w:val="0090134D"/>
    <w:rsid w:val="0090142F"/>
    <w:rsid w:val="009016A6"/>
    <w:rsid w:val="00901AED"/>
    <w:rsid w:val="00901F44"/>
    <w:rsid w:val="00901FA9"/>
    <w:rsid w:val="009024B5"/>
    <w:rsid w:val="009035C5"/>
    <w:rsid w:val="00903949"/>
    <w:rsid w:val="009039AD"/>
    <w:rsid w:val="00903A6C"/>
    <w:rsid w:val="009040B2"/>
    <w:rsid w:val="0090485A"/>
    <w:rsid w:val="00904A29"/>
    <w:rsid w:val="0090543B"/>
    <w:rsid w:val="00905AF1"/>
    <w:rsid w:val="009069EF"/>
    <w:rsid w:val="009070E3"/>
    <w:rsid w:val="00907163"/>
    <w:rsid w:val="009073F8"/>
    <w:rsid w:val="0090767B"/>
    <w:rsid w:val="00907761"/>
    <w:rsid w:val="00907A7A"/>
    <w:rsid w:val="00907BEF"/>
    <w:rsid w:val="00907C14"/>
    <w:rsid w:val="00907C6C"/>
    <w:rsid w:val="00907D90"/>
    <w:rsid w:val="00907F9F"/>
    <w:rsid w:val="00910426"/>
    <w:rsid w:val="00910A49"/>
    <w:rsid w:val="00910BB6"/>
    <w:rsid w:val="00910C00"/>
    <w:rsid w:val="00911D6A"/>
    <w:rsid w:val="009122BA"/>
    <w:rsid w:val="009124E6"/>
    <w:rsid w:val="00912F3E"/>
    <w:rsid w:val="00913178"/>
    <w:rsid w:val="009131E5"/>
    <w:rsid w:val="0091333B"/>
    <w:rsid w:val="00913394"/>
    <w:rsid w:val="009135AF"/>
    <w:rsid w:val="009135D7"/>
    <w:rsid w:val="00913AB7"/>
    <w:rsid w:val="00913E4B"/>
    <w:rsid w:val="00913E67"/>
    <w:rsid w:val="009142DF"/>
    <w:rsid w:val="00914D28"/>
    <w:rsid w:val="00914DA1"/>
    <w:rsid w:val="0091526E"/>
    <w:rsid w:val="0091551C"/>
    <w:rsid w:val="0091559F"/>
    <w:rsid w:val="00915655"/>
    <w:rsid w:val="00915681"/>
    <w:rsid w:val="00915CBE"/>
    <w:rsid w:val="00915F8C"/>
    <w:rsid w:val="0091612E"/>
    <w:rsid w:val="0091677B"/>
    <w:rsid w:val="00916833"/>
    <w:rsid w:val="00916899"/>
    <w:rsid w:val="00916E17"/>
    <w:rsid w:val="0091723E"/>
    <w:rsid w:val="00917918"/>
    <w:rsid w:val="00917A60"/>
    <w:rsid w:val="00917ABF"/>
    <w:rsid w:val="00917CA5"/>
    <w:rsid w:val="00917EA3"/>
    <w:rsid w:val="00917FBD"/>
    <w:rsid w:val="0092044C"/>
    <w:rsid w:val="009209E1"/>
    <w:rsid w:val="00920E3E"/>
    <w:rsid w:val="00921208"/>
    <w:rsid w:val="009214FE"/>
    <w:rsid w:val="00921510"/>
    <w:rsid w:val="00921770"/>
    <w:rsid w:val="009217E4"/>
    <w:rsid w:val="00921974"/>
    <w:rsid w:val="009226C4"/>
    <w:rsid w:val="00922C03"/>
    <w:rsid w:val="00922C0E"/>
    <w:rsid w:val="00922F48"/>
    <w:rsid w:val="0092370F"/>
    <w:rsid w:val="00923E0C"/>
    <w:rsid w:val="009243CB"/>
    <w:rsid w:val="009247B4"/>
    <w:rsid w:val="009248DA"/>
    <w:rsid w:val="00924907"/>
    <w:rsid w:val="009250BB"/>
    <w:rsid w:val="009255A8"/>
    <w:rsid w:val="00925619"/>
    <w:rsid w:val="00925665"/>
    <w:rsid w:val="00925CAE"/>
    <w:rsid w:val="00925CE5"/>
    <w:rsid w:val="00926719"/>
    <w:rsid w:val="0092697C"/>
    <w:rsid w:val="00927522"/>
    <w:rsid w:val="00927D64"/>
    <w:rsid w:val="00927FD2"/>
    <w:rsid w:val="0093020C"/>
    <w:rsid w:val="00930415"/>
    <w:rsid w:val="00930508"/>
    <w:rsid w:val="00930D60"/>
    <w:rsid w:val="00930E88"/>
    <w:rsid w:val="00931081"/>
    <w:rsid w:val="00931694"/>
    <w:rsid w:val="00932D6E"/>
    <w:rsid w:val="009336AF"/>
    <w:rsid w:val="0093372E"/>
    <w:rsid w:val="00933891"/>
    <w:rsid w:val="00933979"/>
    <w:rsid w:val="00933A63"/>
    <w:rsid w:val="00933AF4"/>
    <w:rsid w:val="00933FEA"/>
    <w:rsid w:val="009349FC"/>
    <w:rsid w:val="00934B5D"/>
    <w:rsid w:val="00935119"/>
    <w:rsid w:val="00935363"/>
    <w:rsid w:val="009358CA"/>
    <w:rsid w:val="009361C3"/>
    <w:rsid w:val="009361FB"/>
    <w:rsid w:val="009364E1"/>
    <w:rsid w:val="00936956"/>
    <w:rsid w:val="00936AE0"/>
    <w:rsid w:val="00936B67"/>
    <w:rsid w:val="00936BF7"/>
    <w:rsid w:val="00936DDF"/>
    <w:rsid w:val="0093702E"/>
    <w:rsid w:val="0093738D"/>
    <w:rsid w:val="0093766C"/>
    <w:rsid w:val="009378DF"/>
    <w:rsid w:val="00937B2E"/>
    <w:rsid w:val="00937D56"/>
    <w:rsid w:val="00937D86"/>
    <w:rsid w:val="00937FDE"/>
    <w:rsid w:val="00940272"/>
    <w:rsid w:val="00940502"/>
    <w:rsid w:val="00940927"/>
    <w:rsid w:val="00940CCD"/>
    <w:rsid w:val="00940DE2"/>
    <w:rsid w:val="0094145E"/>
    <w:rsid w:val="0094173B"/>
    <w:rsid w:val="00941794"/>
    <w:rsid w:val="0094196E"/>
    <w:rsid w:val="00941CD6"/>
    <w:rsid w:val="0094207D"/>
    <w:rsid w:val="009433DB"/>
    <w:rsid w:val="00943EB5"/>
    <w:rsid w:val="00943F1F"/>
    <w:rsid w:val="009440FF"/>
    <w:rsid w:val="00944228"/>
    <w:rsid w:val="00944398"/>
    <w:rsid w:val="009445B9"/>
    <w:rsid w:val="009445DD"/>
    <w:rsid w:val="0094463D"/>
    <w:rsid w:val="00945082"/>
    <w:rsid w:val="009450FA"/>
    <w:rsid w:val="009453E2"/>
    <w:rsid w:val="009454E1"/>
    <w:rsid w:val="00945E17"/>
    <w:rsid w:val="0094617A"/>
    <w:rsid w:val="00946267"/>
    <w:rsid w:val="00946ABB"/>
    <w:rsid w:val="00946BAF"/>
    <w:rsid w:val="00946D83"/>
    <w:rsid w:val="00946DFC"/>
    <w:rsid w:val="0094794C"/>
    <w:rsid w:val="00947ADB"/>
    <w:rsid w:val="00947CDA"/>
    <w:rsid w:val="00950589"/>
    <w:rsid w:val="00950669"/>
    <w:rsid w:val="0095067D"/>
    <w:rsid w:val="00950ADC"/>
    <w:rsid w:val="00950C2B"/>
    <w:rsid w:val="0095131E"/>
    <w:rsid w:val="00951728"/>
    <w:rsid w:val="009519A8"/>
    <w:rsid w:val="00951D41"/>
    <w:rsid w:val="00951FD6"/>
    <w:rsid w:val="0095240B"/>
    <w:rsid w:val="00952778"/>
    <w:rsid w:val="00952827"/>
    <w:rsid w:val="0095289D"/>
    <w:rsid w:val="0095291B"/>
    <w:rsid w:val="00952E80"/>
    <w:rsid w:val="0095307E"/>
    <w:rsid w:val="00953580"/>
    <w:rsid w:val="00953830"/>
    <w:rsid w:val="00953D63"/>
    <w:rsid w:val="00953E82"/>
    <w:rsid w:val="009542EF"/>
    <w:rsid w:val="009543BF"/>
    <w:rsid w:val="009543F7"/>
    <w:rsid w:val="009546E1"/>
    <w:rsid w:val="00954735"/>
    <w:rsid w:val="00954900"/>
    <w:rsid w:val="0095492E"/>
    <w:rsid w:val="00954E43"/>
    <w:rsid w:val="00955C56"/>
    <w:rsid w:val="00955DCB"/>
    <w:rsid w:val="00955FA3"/>
    <w:rsid w:val="00956074"/>
    <w:rsid w:val="009560B5"/>
    <w:rsid w:val="009565C2"/>
    <w:rsid w:val="0095667C"/>
    <w:rsid w:val="009569BF"/>
    <w:rsid w:val="00957017"/>
    <w:rsid w:val="00957202"/>
    <w:rsid w:val="0095791B"/>
    <w:rsid w:val="00957CE3"/>
    <w:rsid w:val="00957D66"/>
    <w:rsid w:val="00957D78"/>
    <w:rsid w:val="00957FAF"/>
    <w:rsid w:val="009600D4"/>
    <w:rsid w:val="00960843"/>
    <w:rsid w:val="00960BEC"/>
    <w:rsid w:val="00960D08"/>
    <w:rsid w:val="00960FD5"/>
    <w:rsid w:val="00961052"/>
    <w:rsid w:val="009612EF"/>
    <w:rsid w:val="0096135D"/>
    <w:rsid w:val="00961385"/>
    <w:rsid w:val="0096148E"/>
    <w:rsid w:val="0096156E"/>
    <w:rsid w:val="00961722"/>
    <w:rsid w:val="00961861"/>
    <w:rsid w:val="00961F1B"/>
    <w:rsid w:val="00961F25"/>
    <w:rsid w:val="009622AC"/>
    <w:rsid w:val="00962320"/>
    <w:rsid w:val="0096243E"/>
    <w:rsid w:val="00962472"/>
    <w:rsid w:val="00962788"/>
    <w:rsid w:val="00962830"/>
    <w:rsid w:val="00962881"/>
    <w:rsid w:val="00963960"/>
    <w:rsid w:val="009639DE"/>
    <w:rsid w:val="00963AF0"/>
    <w:rsid w:val="009647F6"/>
    <w:rsid w:val="00964947"/>
    <w:rsid w:val="00964AFF"/>
    <w:rsid w:val="00964B37"/>
    <w:rsid w:val="00964B99"/>
    <w:rsid w:val="00964CC6"/>
    <w:rsid w:val="0096568A"/>
    <w:rsid w:val="00965693"/>
    <w:rsid w:val="009656F8"/>
    <w:rsid w:val="009659F3"/>
    <w:rsid w:val="00965B11"/>
    <w:rsid w:val="00965D29"/>
    <w:rsid w:val="00965D88"/>
    <w:rsid w:val="00965DA6"/>
    <w:rsid w:val="00965FFF"/>
    <w:rsid w:val="009661E5"/>
    <w:rsid w:val="009668F0"/>
    <w:rsid w:val="00966F3D"/>
    <w:rsid w:val="0096727C"/>
    <w:rsid w:val="009674F3"/>
    <w:rsid w:val="0096778B"/>
    <w:rsid w:val="009679CA"/>
    <w:rsid w:val="00967B45"/>
    <w:rsid w:val="00967F53"/>
    <w:rsid w:val="00967FFC"/>
    <w:rsid w:val="00970093"/>
    <w:rsid w:val="00970358"/>
    <w:rsid w:val="0097039E"/>
    <w:rsid w:val="00970670"/>
    <w:rsid w:val="009708FC"/>
    <w:rsid w:val="00970914"/>
    <w:rsid w:val="00970CAB"/>
    <w:rsid w:val="00970CFC"/>
    <w:rsid w:val="00970D8C"/>
    <w:rsid w:val="00970EF2"/>
    <w:rsid w:val="00970F0A"/>
    <w:rsid w:val="0097142A"/>
    <w:rsid w:val="009718FD"/>
    <w:rsid w:val="00971A9B"/>
    <w:rsid w:val="00971D01"/>
    <w:rsid w:val="0097216F"/>
    <w:rsid w:val="00972629"/>
    <w:rsid w:val="00972746"/>
    <w:rsid w:val="00972C18"/>
    <w:rsid w:val="00972D12"/>
    <w:rsid w:val="00972D88"/>
    <w:rsid w:val="00973465"/>
    <w:rsid w:val="00973839"/>
    <w:rsid w:val="009738B5"/>
    <w:rsid w:val="009738DF"/>
    <w:rsid w:val="00973B2C"/>
    <w:rsid w:val="00973C35"/>
    <w:rsid w:val="00973C68"/>
    <w:rsid w:val="009741B8"/>
    <w:rsid w:val="00974518"/>
    <w:rsid w:val="0097488D"/>
    <w:rsid w:val="00974CF1"/>
    <w:rsid w:val="009750D4"/>
    <w:rsid w:val="00975394"/>
    <w:rsid w:val="00975733"/>
    <w:rsid w:val="00975ADA"/>
    <w:rsid w:val="00976033"/>
    <w:rsid w:val="00976735"/>
    <w:rsid w:val="00976A62"/>
    <w:rsid w:val="00976D9F"/>
    <w:rsid w:val="00976ED7"/>
    <w:rsid w:val="0097701A"/>
    <w:rsid w:val="009774C8"/>
    <w:rsid w:val="0097783F"/>
    <w:rsid w:val="009778E3"/>
    <w:rsid w:val="00977914"/>
    <w:rsid w:val="009805C0"/>
    <w:rsid w:val="0098081B"/>
    <w:rsid w:val="00980C7E"/>
    <w:rsid w:val="00980F68"/>
    <w:rsid w:val="009814FB"/>
    <w:rsid w:val="0098186D"/>
    <w:rsid w:val="00981ADC"/>
    <w:rsid w:val="00981D2C"/>
    <w:rsid w:val="009829C9"/>
    <w:rsid w:val="00982CC4"/>
    <w:rsid w:val="00982E25"/>
    <w:rsid w:val="00982F5B"/>
    <w:rsid w:val="00983029"/>
    <w:rsid w:val="009831E7"/>
    <w:rsid w:val="0098340F"/>
    <w:rsid w:val="009834C3"/>
    <w:rsid w:val="0098359C"/>
    <w:rsid w:val="00983863"/>
    <w:rsid w:val="00983F13"/>
    <w:rsid w:val="009840D3"/>
    <w:rsid w:val="00984834"/>
    <w:rsid w:val="00984980"/>
    <w:rsid w:val="00984A0C"/>
    <w:rsid w:val="00984BF4"/>
    <w:rsid w:val="00984E9A"/>
    <w:rsid w:val="00984F66"/>
    <w:rsid w:val="00985090"/>
    <w:rsid w:val="00985100"/>
    <w:rsid w:val="00985304"/>
    <w:rsid w:val="009858B0"/>
    <w:rsid w:val="00985AC7"/>
    <w:rsid w:val="00985D92"/>
    <w:rsid w:val="009863AA"/>
    <w:rsid w:val="00986B02"/>
    <w:rsid w:val="00986D79"/>
    <w:rsid w:val="00987081"/>
    <w:rsid w:val="009871C8"/>
    <w:rsid w:val="00987BFF"/>
    <w:rsid w:val="00987DD1"/>
    <w:rsid w:val="009908A1"/>
    <w:rsid w:val="00990D0D"/>
    <w:rsid w:val="00990DF3"/>
    <w:rsid w:val="00990ECE"/>
    <w:rsid w:val="00990FBD"/>
    <w:rsid w:val="009915FB"/>
    <w:rsid w:val="00991762"/>
    <w:rsid w:val="00991BD7"/>
    <w:rsid w:val="0099210E"/>
    <w:rsid w:val="00992365"/>
    <w:rsid w:val="009926BC"/>
    <w:rsid w:val="00993BE8"/>
    <w:rsid w:val="00993FA9"/>
    <w:rsid w:val="00994CD5"/>
    <w:rsid w:val="00994E0D"/>
    <w:rsid w:val="00994F70"/>
    <w:rsid w:val="00995441"/>
    <w:rsid w:val="00995E2C"/>
    <w:rsid w:val="00995E8B"/>
    <w:rsid w:val="009966C2"/>
    <w:rsid w:val="00996784"/>
    <w:rsid w:val="00996D16"/>
    <w:rsid w:val="00996E04"/>
    <w:rsid w:val="00996EF0"/>
    <w:rsid w:val="009974F3"/>
    <w:rsid w:val="009976A4"/>
    <w:rsid w:val="009979DC"/>
    <w:rsid w:val="009A0258"/>
    <w:rsid w:val="009A0469"/>
    <w:rsid w:val="009A0BDE"/>
    <w:rsid w:val="009A0EC5"/>
    <w:rsid w:val="009A1480"/>
    <w:rsid w:val="009A14DD"/>
    <w:rsid w:val="009A1BE2"/>
    <w:rsid w:val="009A2513"/>
    <w:rsid w:val="009A26D0"/>
    <w:rsid w:val="009A29D9"/>
    <w:rsid w:val="009A2C45"/>
    <w:rsid w:val="009A2ED3"/>
    <w:rsid w:val="009A3455"/>
    <w:rsid w:val="009A38FA"/>
    <w:rsid w:val="009A3AD4"/>
    <w:rsid w:val="009A3AE6"/>
    <w:rsid w:val="009A3FB3"/>
    <w:rsid w:val="009A4130"/>
    <w:rsid w:val="009A42F7"/>
    <w:rsid w:val="009A4615"/>
    <w:rsid w:val="009A4808"/>
    <w:rsid w:val="009A4CF9"/>
    <w:rsid w:val="009A4D29"/>
    <w:rsid w:val="009A4E27"/>
    <w:rsid w:val="009A52CB"/>
    <w:rsid w:val="009A5991"/>
    <w:rsid w:val="009A5AE9"/>
    <w:rsid w:val="009A613E"/>
    <w:rsid w:val="009A634A"/>
    <w:rsid w:val="009A6442"/>
    <w:rsid w:val="009A64AA"/>
    <w:rsid w:val="009A6693"/>
    <w:rsid w:val="009A67AB"/>
    <w:rsid w:val="009A6A0D"/>
    <w:rsid w:val="009A6B2B"/>
    <w:rsid w:val="009A6D37"/>
    <w:rsid w:val="009A6DDC"/>
    <w:rsid w:val="009A7257"/>
    <w:rsid w:val="009A768B"/>
    <w:rsid w:val="009A7797"/>
    <w:rsid w:val="009A7AC3"/>
    <w:rsid w:val="009B04BC"/>
    <w:rsid w:val="009B0549"/>
    <w:rsid w:val="009B09EB"/>
    <w:rsid w:val="009B0A3D"/>
    <w:rsid w:val="009B0D2C"/>
    <w:rsid w:val="009B0EFE"/>
    <w:rsid w:val="009B0F3C"/>
    <w:rsid w:val="009B110A"/>
    <w:rsid w:val="009B1712"/>
    <w:rsid w:val="009B17D4"/>
    <w:rsid w:val="009B1C27"/>
    <w:rsid w:val="009B1EC5"/>
    <w:rsid w:val="009B2059"/>
    <w:rsid w:val="009B2286"/>
    <w:rsid w:val="009B260E"/>
    <w:rsid w:val="009B27CB"/>
    <w:rsid w:val="009B2A9F"/>
    <w:rsid w:val="009B2B53"/>
    <w:rsid w:val="009B2F9F"/>
    <w:rsid w:val="009B3425"/>
    <w:rsid w:val="009B3584"/>
    <w:rsid w:val="009B37C9"/>
    <w:rsid w:val="009B3CB8"/>
    <w:rsid w:val="009B3EDF"/>
    <w:rsid w:val="009B3F3E"/>
    <w:rsid w:val="009B446C"/>
    <w:rsid w:val="009B49E5"/>
    <w:rsid w:val="009B5191"/>
    <w:rsid w:val="009B5723"/>
    <w:rsid w:val="009B5AD8"/>
    <w:rsid w:val="009B5B62"/>
    <w:rsid w:val="009B6399"/>
    <w:rsid w:val="009B783A"/>
    <w:rsid w:val="009B7970"/>
    <w:rsid w:val="009B7AD0"/>
    <w:rsid w:val="009B7B14"/>
    <w:rsid w:val="009B7E10"/>
    <w:rsid w:val="009C035F"/>
    <w:rsid w:val="009C043A"/>
    <w:rsid w:val="009C051A"/>
    <w:rsid w:val="009C05FC"/>
    <w:rsid w:val="009C0975"/>
    <w:rsid w:val="009C09AF"/>
    <w:rsid w:val="009C0DFE"/>
    <w:rsid w:val="009C0F46"/>
    <w:rsid w:val="009C119D"/>
    <w:rsid w:val="009C1343"/>
    <w:rsid w:val="009C1A05"/>
    <w:rsid w:val="009C203A"/>
    <w:rsid w:val="009C2CCE"/>
    <w:rsid w:val="009C360C"/>
    <w:rsid w:val="009C3C52"/>
    <w:rsid w:val="009C405C"/>
    <w:rsid w:val="009C5EC2"/>
    <w:rsid w:val="009C6355"/>
    <w:rsid w:val="009C6A0C"/>
    <w:rsid w:val="009C6A0F"/>
    <w:rsid w:val="009C6C09"/>
    <w:rsid w:val="009C717F"/>
    <w:rsid w:val="009C76C0"/>
    <w:rsid w:val="009C7A64"/>
    <w:rsid w:val="009C7B6C"/>
    <w:rsid w:val="009C7C27"/>
    <w:rsid w:val="009C7F8E"/>
    <w:rsid w:val="009D015F"/>
    <w:rsid w:val="009D05F3"/>
    <w:rsid w:val="009D086A"/>
    <w:rsid w:val="009D1160"/>
    <w:rsid w:val="009D1332"/>
    <w:rsid w:val="009D1375"/>
    <w:rsid w:val="009D1807"/>
    <w:rsid w:val="009D192C"/>
    <w:rsid w:val="009D1D87"/>
    <w:rsid w:val="009D2582"/>
    <w:rsid w:val="009D276E"/>
    <w:rsid w:val="009D2B8B"/>
    <w:rsid w:val="009D2C63"/>
    <w:rsid w:val="009D2DAC"/>
    <w:rsid w:val="009D2F69"/>
    <w:rsid w:val="009D302E"/>
    <w:rsid w:val="009D34B1"/>
    <w:rsid w:val="009D3563"/>
    <w:rsid w:val="009D377D"/>
    <w:rsid w:val="009D3B08"/>
    <w:rsid w:val="009D432F"/>
    <w:rsid w:val="009D44EC"/>
    <w:rsid w:val="009D4776"/>
    <w:rsid w:val="009D47FA"/>
    <w:rsid w:val="009D499F"/>
    <w:rsid w:val="009D4BD4"/>
    <w:rsid w:val="009D4D5C"/>
    <w:rsid w:val="009D4EC9"/>
    <w:rsid w:val="009D5333"/>
    <w:rsid w:val="009D5467"/>
    <w:rsid w:val="009D5794"/>
    <w:rsid w:val="009D59BC"/>
    <w:rsid w:val="009D5EAC"/>
    <w:rsid w:val="009D620F"/>
    <w:rsid w:val="009D6664"/>
    <w:rsid w:val="009D66A4"/>
    <w:rsid w:val="009D67B5"/>
    <w:rsid w:val="009D6996"/>
    <w:rsid w:val="009D6F3D"/>
    <w:rsid w:val="009D6F3E"/>
    <w:rsid w:val="009D7043"/>
    <w:rsid w:val="009D7051"/>
    <w:rsid w:val="009D798C"/>
    <w:rsid w:val="009D7CE5"/>
    <w:rsid w:val="009D7DD2"/>
    <w:rsid w:val="009E041F"/>
    <w:rsid w:val="009E0F07"/>
    <w:rsid w:val="009E1095"/>
    <w:rsid w:val="009E1449"/>
    <w:rsid w:val="009E1C66"/>
    <w:rsid w:val="009E1D04"/>
    <w:rsid w:val="009E2358"/>
    <w:rsid w:val="009E2D49"/>
    <w:rsid w:val="009E2E2E"/>
    <w:rsid w:val="009E2FB4"/>
    <w:rsid w:val="009E310E"/>
    <w:rsid w:val="009E35DD"/>
    <w:rsid w:val="009E3873"/>
    <w:rsid w:val="009E433D"/>
    <w:rsid w:val="009E46B5"/>
    <w:rsid w:val="009E47DB"/>
    <w:rsid w:val="009E4897"/>
    <w:rsid w:val="009E4A6A"/>
    <w:rsid w:val="009E503F"/>
    <w:rsid w:val="009E51CF"/>
    <w:rsid w:val="009E58A7"/>
    <w:rsid w:val="009E5D9C"/>
    <w:rsid w:val="009E5E28"/>
    <w:rsid w:val="009E6253"/>
    <w:rsid w:val="009E6BF0"/>
    <w:rsid w:val="009E6C6E"/>
    <w:rsid w:val="009E719B"/>
    <w:rsid w:val="009E72F1"/>
    <w:rsid w:val="009E7469"/>
    <w:rsid w:val="009E74F6"/>
    <w:rsid w:val="009E794A"/>
    <w:rsid w:val="009E7AEF"/>
    <w:rsid w:val="009F0079"/>
    <w:rsid w:val="009F0863"/>
    <w:rsid w:val="009F0B6B"/>
    <w:rsid w:val="009F1108"/>
    <w:rsid w:val="009F11D5"/>
    <w:rsid w:val="009F1332"/>
    <w:rsid w:val="009F1933"/>
    <w:rsid w:val="009F24B3"/>
    <w:rsid w:val="009F2522"/>
    <w:rsid w:val="009F2C96"/>
    <w:rsid w:val="009F3165"/>
    <w:rsid w:val="009F343B"/>
    <w:rsid w:val="009F3703"/>
    <w:rsid w:val="009F4231"/>
    <w:rsid w:val="009F4303"/>
    <w:rsid w:val="009F44BB"/>
    <w:rsid w:val="009F45FA"/>
    <w:rsid w:val="009F46DA"/>
    <w:rsid w:val="009F4A83"/>
    <w:rsid w:val="009F526A"/>
    <w:rsid w:val="009F55AB"/>
    <w:rsid w:val="009F5C35"/>
    <w:rsid w:val="009F6BBF"/>
    <w:rsid w:val="009F7198"/>
    <w:rsid w:val="009F7388"/>
    <w:rsid w:val="009F77CE"/>
    <w:rsid w:val="009F7A28"/>
    <w:rsid w:val="009F7B41"/>
    <w:rsid w:val="009F7C42"/>
    <w:rsid w:val="009F7C56"/>
    <w:rsid w:val="009F7E02"/>
    <w:rsid w:val="009F7E04"/>
    <w:rsid w:val="00A00390"/>
    <w:rsid w:val="00A0046A"/>
    <w:rsid w:val="00A00AB1"/>
    <w:rsid w:val="00A00CD4"/>
    <w:rsid w:val="00A00CEE"/>
    <w:rsid w:val="00A00FF2"/>
    <w:rsid w:val="00A01257"/>
    <w:rsid w:val="00A01459"/>
    <w:rsid w:val="00A015A1"/>
    <w:rsid w:val="00A01815"/>
    <w:rsid w:val="00A01DD3"/>
    <w:rsid w:val="00A01E52"/>
    <w:rsid w:val="00A01FEC"/>
    <w:rsid w:val="00A02349"/>
    <w:rsid w:val="00A029EA"/>
    <w:rsid w:val="00A02F8F"/>
    <w:rsid w:val="00A02FD8"/>
    <w:rsid w:val="00A0344B"/>
    <w:rsid w:val="00A03995"/>
    <w:rsid w:val="00A03A83"/>
    <w:rsid w:val="00A03D88"/>
    <w:rsid w:val="00A03FC9"/>
    <w:rsid w:val="00A0427C"/>
    <w:rsid w:val="00A04677"/>
    <w:rsid w:val="00A04B24"/>
    <w:rsid w:val="00A04EA5"/>
    <w:rsid w:val="00A04FB1"/>
    <w:rsid w:val="00A05A30"/>
    <w:rsid w:val="00A06482"/>
    <w:rsid w:val="00A067F8"/>
    <w:rsid w:val="00A06943"/>
    <w:rsid w:val="00A0695C"/>
    <w:rsid w:val="00A069C2"/>
    <w:rsid w:val="00A06E73"/>
    <w:rsid w:val="00A06F79"/>
    <w:rsid w:val="00A06FF8"/>
    <w:rsid w:val="00A071F5"/>
    <w:rsid w:val="00A0725E"/>
    <w:rsid w:val="00A0765B"/>
    <w:rsid w:val="00A07B4A"/>
    <w:rsid w:val="00A07C02"/>
    <w:rsid w:val="00A07ED5"/>
    <w:rsid w:val="00A07FD8"/>
    <w:rsid w:val="00A10081"/>
    <w:rsid w:val="00A10BC2"/>
    <w:rsid w:val="00A1116E"/>
    <w:rsid w:val="00A11244"/>
    <w:rsid w:val="00A1126B"/>
    <w:rsid w:val="00A115B0"/>
    <w:rsid w:val="00A118BB"/>
    <w:rsid w:val="00A11BFA"/>
    <w:rsid w:val="00A11C20"/>
    <w:rsid w:val="00A12377"/>
    <w:rsid w:val="00A12592"/>
    <w:rsid w:val="00A1265E"/>
    <w:rsid w:val="00A12675"/>
    <w:rsid w:val="00A12961"/>
    <w:rsid w:val="00A12B50"/>
    <w:rsid w:val="00A12E0A"/>
    <w:rsid w:val="00A13006"/>
    <w:rsid w:val="00A13267"/>
    <w:rsid w:val="00A1332F"/>
    <w:rsid w:val="00A1357C"/>
    <w:rsid w:val="00A1387E"/>
    <w:rsid w:val="00A14521"/>
    <w:rsid w:val="00A1470F"/>
    <w:rsid w:val="00A14822"/>
    <w:rsid w:val="00A148CB"/>
    <w:rsid w:val="00A14C58"/>
    <w:rsid w:val="00A14CEC"/>
    <w:rsid w:val="00A15011"/>
    <w:rsid w:val="00A15050"/>
    <w:rsid w:val="00A157B0"/>
    <w:rsid w:val="00A15C18"/>
    <w:rsid w:val="00A15D5E"/>
    <w:rsid w:val="00A15EF8"/>
    <w:rsid w:val="00A1600A"/>
    <w:rsid w:val="00A164F1"/>
    <w:rsid w:val="00A17266"/>
    <w:rsid w:val="00A174A6"/>
    <w:rsid w:val="00A1757A"/>
    <w:rsid w:val="00A175FD"/>
    <w:rsid w:val="00A17DAD"/>
    <w:rsid w:val="00A17E46"/>
    <w:rsid w:val="00A17FDC"/>
    <w:rsid w:val="00A20085"/>
    <w:rsid w:val="00A205FE"/>
    <w:rsid w:val="00A20A2B"/>
    <w:rsid w:val="00A20DA6"/>
    <w:rsid w:val="00A2133C"/>
    <w:rsid w:val="00A2185C"/>
    <w:rsid w:val="00A218A6"/>
    <w:rsid w:val="00A21C55"/>
    <w:rsid w:val="00A21E2F"/>
    <w:rsid w:val="00A229A6"/>
    <w:rsid w:val="00A22CD2"/>
    <w:rsid w:val="00A23006"/>
    <w:rsid w:val="00A2323E"/>
    <w:rsid w:val="00A232C6"/>
    <w:rsid w:val="00A2331D"/>
    <w:rsid w:val="00A23882"/>
    <w:rsid w:val="00A23A9C"/>
    <w:rsid w:val="00A23E94"/>
    <w:rsid w:val="00A2401F"/>
    <w:rsid w:val="00A24039"/>
    <w:rsid w:val="00A2441B"/>
    <w:rsid w:val="00A24782"/>
    <w:rsid w:val="00A248E5"/>
    <w:rsid w:val="00A24996"/>
    <w:rsid w:val="00A250BE"/>
    <w:rsid w:val="00A25125"/>
    <w:rsid w:val="00A2538A"/>
    <w:rsid w:val="00A25509"/>
    <w:rsid w:val="00A258C1"/>
    <w:rsid w:val="00A25988"/>
    <w:rsid w:val="00A25B2D"/>
    <w:rsid w:val="00A25B4D"/>
    <w:rsid w:val="00A25F54"/>
    <w:rsid w:val="00A25F5E"/>
    <w:rsid w:val="00A2601C"/>
    <w:rsid w:val="00A26184"/>
    <w:rsid w:val="00A2621E"/>
    <w:rsid w:val="00A262DF"/>
    <w:rsid w:val="00A26479"/>
    <w:rsid w:val="00A26961"/>
    <w:rsid w:val="00A26C0B"/>
    <w:rsid w:val="00A26DBD"/>
    <w:rsid w:val="00A2702C"/>
    <w:rsid w:val="00A272E6"/>
    <w:rsid w:val="00A27821"/>
    <w:rsid w:val="00A27BDB"/>
    <w:rsid w:val="00A27C6F"/>
    <w:rsid w:val="00A27D1B"/>
    <w:rsid w:val="00A3019A"/>
    <w:rsid w:val="00A301B0"/>
    <w:rsid w:val="00A306C3"/>
    <w:rsid w:val="00A307EE"/>
    <w:rsid w:val="00A311B2"/>
    <w:rsid w:val="00A3149A"/>
    <w:rsid w:val="00A317EE"/>
    <w:rsid w:val="00A31D19"/>
    <w:rsid w:val="00A31D91"/>
    <w:rsid w:val="00A31E89"/>
    <w:rsid w:val="00A32303"/>
    <w:rsid w:val="00A32386"/>
    <w:rsid w:val="00A32C5B"/>
    <w:rsid w:val="00A32E63"/>
    <w:rsid w:val="00A32FDA"/>
    <w:rsid w:val="00A33113"/>
    <w:rsid w:val="00A33756"/>
    <w:rsid w:val="00A339EB"/>
    <w:rsid w:val="00A33B08"/>
    <w:rsid w:val="00A34080"/>
    <w:rsid w:val="00A34409"/>
    <w:rsid w:val="00A34517"/>
    <w:rsid w:val="00A34749"/>
    <w:rsid w:val="00A34EBE"/>
    <w:rsid w:val="00A34FD0"/>
    <w:rsid w:val="00A35205"/>
    <w:rsid w:val="00A352E9"/>
    <w:rsid w:val="00A3532C"/>
    <w:rsid w:val="00A3604A"/>
    <w:rsid w:val="00A364C1"/>
    <w:rsid w:val="00A369EA"/>
    <w:rsid w:val="00A36D84"/>
    <w:rsid w:val="00A3774C"/>
    <w:rsid w:val="00A401B1"/>
    <w:rsid w:val="00A40416"/>
    <w:rsid w:val="00A40542"/>
    <w:rsid w:val="00A407CF"/>
    <w:rsid w:val="00A40910"/>
    <w:rsid w:val="00A40AB4"/>
    <w:rsid w:val="00A40D00"/>
    <w:rsid w:val="00A413D3"/>
    <w:rsid w:val="00A414FD"/>
    <w:rsid w:val="00A416E4"/>
    <w:rsid w:val="00A418E2"/>
    <w:rsid w:val="00A41EAE"/>
    <w:rsid w:val="00A41F91"/>
    <w:rsid w:val="00A4201E"/>
    <w:rsid w:val="00A4248E"/>
    <w:rsid w:val="00A42852"/>
    <w:rsid w:val="00A428DD"/>
    <w:rsid w:val="00A42A48"/>
    <w:rsid w:val="00A42B64"/>
    <w:rsid w:val="00A430D4"/>
    <w:rsid w:val="00A4394E"/>
    <w:rsid w:val="00A43A5B"/>
    <w:rsid w:val="00A44E40"/>
    <w:rsid w:val="00A44F8B"/>
    <w:rsid w:val="00A4509A"/>
    <w:rsid w:val="00A45BD5"/>
    <w:rsid w:val="00A45D02"/>
    <w:rsid w:val="00A4691A"/>
    <w:rsid w:val="00A4696A"/>
    <w:rsid w:val="00A46A15"/>
    <w:rsid w:val="00A46CC4"/>
    <w:rsid w:val="00A4730C"/>
    <w:rsid w:val="00A47382"/>
    <w:rsid w:val="00A4781C"/>
    <w:rsid w:val="00A47834"/>
    <w:rsid w:val="00A47BDC"/>
    <w:rsid w:val="00A47C3A"/>
    <w:rsid w:val="00A47E52"/>
    <w:rsid w:val="00A47ECD"/>
    <w:rsid w:val="00A50449"/>
    <w:rsid w:val="00A50CA1"/>
    <w:rsid w:val="00A511F5"/>
    <w:rsid w:val="00A51375"/>
    <w:rsid w:val="00A513D5"/>
    <w:rsid w:val="00A51588"/>
    <w:rsid w:val="00A5185A"/>
    <w:rsid w:val="00A51B0A"/>
    <w:rsid w:val="00A521E7"/>
    <w:rsid w:val="00A523DC"/>
    <w:rsid w:val="00A52995"/>
    <w:rsid w:val="00A537CA"/>
    <w:rsid w:val="00A53C5A"/>
    <w:rsid w:val="00A53FE9"/>
    <w:rsid w:val="00A54120"/>
    <w:rsid w:val="00A54571"/>
    <w:rsid w:val="00A54792"/>
    <w:rsid w:val="00A54938"/>
    <w:rsid w:val="00A54BB3"/>
    <w:rsid w:val="00A556C8"/>
    <w:rsid w:val="00A55D3E"/>
    <w:rsid w:val="00A55EF6"/>
    <w:rsid w:val="00A55EFA"/>
    <w:rsid w:val="00A56098"/>
    <w:rsid w:val="00A5612F"/>
    <w:rsid w:val="00A5615E"/>
    <w:rsid w:val="00A562E9"/>
    <w:rsid w:val="00A5633D"/>
    <w:rsid w:val="00A56770"/>
    <w:rsid w:val="00A567D3"/>
    <w:rsid w:val="00A57043"/>
    <w:rsid w:val="00A57564"/>
    <w:rsid w:val="00A576FD"/>
    <w:rsid w:val="00A577D6"/>
    <w:rsid w:val="00A57C20"/>
    <w:rsid w:val="00A603AA"/>
    <w:rsid w:val="00A60519"/>
    <w:rsid w:val="00A606AE"/>
    <w:rsid w:val="00A607B4"/>
    <w:rsid w:val="00A61072"/>
    <w:rsid w:val="00A6130C"/>
    <w:rsid w:val="00A61336"/>
    <w:rsid w:val="00A6155D"/>
    <w:rsid w:val="00A618FB"/>
    <w:rsid w:val="00A6199F"/>
    <w:rsid w:val="00A61A7C"/>
    <w:rsid w:val="00A61F6D"/>
    <w:rsid w:val="00A62464"/>
    <w:rsid w:val="00A62485"/>
    <w:rsid w:val="00A62A61"/>
    <w:rsid w:val="00A62B9F"/>
    <w:rsid w:val="00A62C51"/>
    <w:rsid w:val="00A62CF6"/>
    <w:rsid w:val="00A63416"/>
    <w:rsid w:val="00A63559"/>
    <w:rsid w:val="00A635B3"/>
    <w:rsid w:val="00A6424B"/>
    <w:rsid w:val="00A64613"/>
    <w:rsid w:val="00A64963"/>
    <w:rsid w:val="00A64B91"/>
    <w:rsid w:val="00A64C3C"/>
    <w:rsid w:val="00A64F2E"/>
    <w:rsid w:val="00A64F45"/>
    <w:rsid w:val="00A65A5A"/>
    <w:rsid w:val="00A65F87"/>
    <w:rsid w:val="00A6624E"/>
    <w:rsid w:val="00A662F7"/>
    <w:rsid w:val="00A66C22"/>
    <w:rsid w:val="00A66D7D"/>
    <w:rsid w:val="00A66FF5"/>
    <w:rsid w:val="00A672FA"/>
    <w:rsid w:val="00A67449"/>
    <w:rsid w:val="00A67D11"/>
    <w:rsid w:val="00A70527"/>
    <w:rsid w:val="00A70B0B"/>
    <w:rsid w:val="00A70C53"/>
    <w:rsid w:val="00A70F20"/>
    <w:rsid w:val="00A71056"/>
    <w:rsid w:val="00A718D0"/>
    <w:rsid w:val="00A71D2D"/>
    <w:rsid w:val="00A71DE5"/>
    <w:rsid w:val="00A71EB9"/>
    <w:rsid w:val="00A72157"/>
    <w:rsid w:val="00A72467"/>
    <w:rsid w:val="00A728B7"/>
    <w:rsid w:val="00A72BF2"/>
    <w:rsid w:val="00A72CF5"/>
    <w:rsid w:val="00A7331E"/>
    <w:rsid w:val="00A736BF"/>
    <w:rsid w:val="00A73A4D"/>
    <w:rsid w:val="00A73EE9"/>
    <w:rsid w:val="00A73F89"/>
    <w:rsid w:val="00A743E5"/>
    <w:rsid w:val="00A74802"/>
    <w:rsid w:val="00A75646"/>
    <w:rsid w:val="00A75787"/>
    <w:rsid w:val="00A75A3D"/>
    <w:rsid w:val="00A761E2"/>
    <w:rsid w:val="00A7627B"/>
    <w:rsid w:val="00A7643E"/>
    <w:rsid w:val="00A768E9"/>
    <w:rsid w:val="00A7693B"/>
    <w:rsid w:val="00A76962"/>
    <w:rsid w:val="00A769B4"/>
    <w:rsid w:val="00A76C98"/>
    <w:rsid w:val="00A76CB0"/>
    <w:rsid w:val="00A76DB9"/>
    <w:rsid w:val="00A76F25"/>
    <w:rsid w:val="00A775FB"/>
    <w:rsid w:val="00A77654"/>
    <w:rsid w:val="00A777D2"/>
    <w:rsid w:val="00A77B58"/>
    <w:rsid w:val="00A77C4E"/>
    <w:rsid w:val="00A77FA4"/>
    <w:rsid w:val="00A804A1"/>
    <w:rsid w:val="00A8078D"/>
    <w:rsid w:val="00A80834"/>
    <w:rsid w:val="00A80885"/>
    <w:rsid w:val="00A80891"/>
    <w:rsid w:val="00A809F2"/>
    <w:rsid w:val="00A81127"/>
    <w:rsid w:val="00A81263"/>
    <w:rsid w:val="00A819EE"/>
    <w:rsid w:val="00A8228D"/>
    <w:rsid w:val="00A8297A"/>
    <w:rsid w:val="00A82E76"/>
    <w:rsid w:val="00A831E4"/>
    <w:rsid w:val="00A835A0"/>
    <w:rsid w:val="00A83957"/>
    <w:rsid w:val="00A83A81"/>
    <w:rsid w:val="00A83E2A"/>
    <w:rsid w:val="00A83F83"/>
    <w:rsid w:val="00A8434F"/>
    <w:rsid w:val="00A84363"/>
    <w:rsid w:val="00A845AE"/>
    <w:rsid w:val="00A846FC"/>
    <w:rsid w:val="00A849AF"/>
    <w:rsid w:val="00A84A85"/>
    <w:rsid w:val="00A84CB3"/>
    <w:rsid w:val="00A84F83"/>
    <w:rsid w:val="00A8517A"/>
    <w:rsid w:val="00A851F0"/>
    <w:rsid w:val="00A85EEF"/>
    <w:rsid w:val="00A86705"/>
    <w:rsid w:val="00A86A89"/>
    <w:rsid w:val="00A86C00"/>
    <w:rsid w:val="00A87066"/>
    <w:rsid w:val="00A8724C"/>
    <w:rsid w:val="00A87CB4"/>
    <w:rsid w:val="00A87EA3"/>
    <w:rsid w:val="00A9021D"/>
    <w:rsid w:val="00A9077A"/>
    <w:rsid w:val="00A915E4"/>
    <w:rsid w:val="00A92140"/>
    <w:rsid w:val="00A922CC"/>
    <w:rsid w:val="00A92356"/>
    <w:rsid w:val="00A924E6"/>
    <w:rsid w:val="00A92876"/>
    <w:rsid w:val="00A92C61"/>
    <w:rsid w:val="00A93071"/>
    <w:rsid w:val="00A93192"/>
    <w:rsid w:val="00A9365A"/>
    <w:rsid w:val="00A939D0"/>
    <w:rsid w:val="00A93D47"/>
    <w:rsid w:val="00A93F86"/>
    <w:rsid w:val="00A9453A"/>
    <w:rsid w:val="00A94676"/>
    <w:rsid w:val="00A9500A"/>
    <w:rsid w:val="00A950C2"/>
    <w:rsid w:val="00A95506"/>
    <w:rsid w:val="00A95931"/>
    <w:rsid w:val="00A959CC"/>
    <w:rsid w:val="00A95EBF"/>
    <w:rsid w:val="00A95F9C"/>
    <w:rsid w:val="00A96033"/>
    <w:rsid w:val="00A96368"/>
    <w:rsid w:val="00A965ED"/>
    <w:rsid w:val="00A96A1E"/>
    <w:rsid w:val="00A970AE"/>
    <w:rsid w:val="00A9733B"/>
    <w:rsid w:val="00A974EB"/>
    <w:rsid w:val="00A97A0C"/>
    <w:rsid w:val="00A97F2D"/>
    <w:rsid w:val="00A97FF3"/>
    <w:rsid w:val="00AA0260"/>
    <w:rsid w:val="00AA04F8"/>
    <w:rsid w:val="00AA06EC"/>
    <w:rsid w:val="00AA0920"/>
    <w:rsid w:val="00AA0AC0"/>
    <w:rsid w:val="00AA11C0"/>
    <w:rsid w:val="00AA1537"/>
    <w:rsid w:val="00AA17A3"/>
    <w:rsid w:val="00AA17CC"/>
    <w:rsid w:val="00AA1AC4"/>
    <w:rsid w:val="00AA1B8C"/>
    <w:rsid w:val="00AA1BB6"/>
    <w:rsid w:val="00AA1F9B"/>
    <w:rsid w:val="00AA20B7"/>
    <w:rsid w:val="00AA22B1"/>
    <w:rsid w:val="00AA23DA"/>
    <w:rsid w:val="00AA2427"/>
    <w:rsid w:val="00AA27E3"/>
    <w:rsid w:val="00AA28C8"/>
    <w:rsid w:val="00AA31C4"/>
    <w:rsid w:val="00AA326D"/>
    <w:rsid w:val="00AA32E9"/>
    <w:rsid w:val="00AA33DA"/>
    <w:rsid w:val="00AA33F8"/>
    <w:rsid w:val="00AA3499"/>
    <w:rsid w:val="00AA3859"/>
    <w:rsid w:val="00AA3F76"/>
    <w:rsid w:val="00AA42F5"/>
    <w:rsid w:val="00AA46C5"/>
    <w:rsid w:val="00AA4BF1"/>
    <w:rsid w:val="00AA4C17"/>
    <w:rsid w:val="00AA4CB5"/>
    <w:rsid w:val="00AA4E07"/>
    <w:rsid w:val="00AA5094"/>
    <w:rsid w:val="00AA62D0"/>
    <w:rsid w:val="00AA6322"/>
    <w:rsid w:val="00AA6425"/>
    <w:rsid w:val="00AA64B9"/>
    <w:rsid w:val="00AA6618"/>
    <w:rsid w:val="00AA66F0"/>
    <w:rsid w:val="00AA6957"/>
    <w:rsid w:val="00AA6B01"/>
    <w:rsid w:val="00AA6CF6"/>
    <w:rsid w:val="00AA715A"/>
    <w:rsid w:val="00AA73C9"/>
    <w:rsid w:val="00AA7565"/>
    <w:rsid w:val="00AA7744"/>
    <w:rsid w:val="00AB00FD"/>
    <w:rsid w:val="00AB02E3"/>
    <w:rsid w:val="00AB0659"/>
    <w:rsid w:val="00AB0B9B"/>
    <w:rsid w:val="00AB102E"/>
    <w:rsid w:val="00AB1803"/>
    <w:rsid w:val="00AB19A4"/>
    <w:rsid w:val="00AB1D05"/>
    <w:rsid w:val="00AB224C"/>
    <w:rsid w:val="00AB296E"/>
    <w:rsid w:val="00AB29DA"/>
    <w:rsid w:val="00AB2A9E"/>
    <w:rsid w:val="00AB2BA4"/>
    <w:rsid w:val="00AB2BED"/>
    <w:rsid w:val="00AB2E40"/>
    <w:rsid w:val="00AB303C"/>
    <w:rsid w:val="00AB32E2"/>
    <w:rsid w:val="00AB3767"/>
    <w:rsid w:val="00AB387E"/>
    <w:rsid w:val="00AB397A"/>
    <w:rsid w:val="00AB3A40"/>
    <w:rsid w:val="00AB3A87"/>
    <w:rsid w:val="00AB4297"/>
    <w:rsid w:val="00AB4699"/>
    <w:rsid w:val="00AB469A"/>
    <w:rsid w:val="00AB473C"/>
    <w:rsid w:val="00AB4B27"/>
    <w:rsid w:val="00AB4E71"/>
    <w:rsid w:val="00AB4FA9"/>
    <w:rsid w:val="00AB57D9"/>
    <w:rsid w:val="00AB582B"/>
    <w:rsid w:val="00AB587C"/>
    <w:rsid w:val="00AB5FBB"/>
    <w:rsid w:val="00AB6269"/>
    <w:rsid w:val="00AB63ED"/>
    <w:rsid w:val="00AB7054"/>
    <w:rsid w:val="00AB7093"/>
    <w:rsid w:val="00AB767A"/>
    <w:rsid w:val="00AB770A"/>
    <w:rsid w:val="00AB7F26"/>
    <w:rsid w:val="00AC0008"/>
    <w:rsid w:val="00AC03C7"/>
    <w:rsid w:val="00AC043F"/>
    <w:rsid w:val="00AC0669"/>
    <w:rsid w:val="00AC112A"/>
    <w:rsid w:val="00AC1394"/>
    <w:rsid w:val="00AC1505"/>
    <w:rsid w:val="00AC16A2"/>
    <w:rsid w:val="00AC1CA1"/>
    <w:rsid w:val="00AC2521"/>
    <w:rsid w:val="00AC2524"/>
    <w:rsid w:val="00AC26AD"/>
    <w:rsid w:val="00AC26FE"/>
    <w:rsid w:val="00AC287A"/>
    <w:rsid w:val="00AC3169"/>
    <w:rsid w:val="00AC32D5"/>
    <w:rsid w:val="00AC351D"/>
    <w:rsid w:val="00AC354D"/>
    <w:rsid w:val="00AC35EF"/>
    <w:rsid w:val="00AC3ACC"/>
    <w:rsid w:val="00AC46DA"/>
    <w:rsid w:val="00AC4A99"/>
    <w:rsid w:val="00AC4AE1"/>
    <w:rsid w:val="00AC4B49"/>
    <w:rsid w:val="00AC4BE9"/>
    <w:rsid w:val="00AC4DB3"/>
    <w:rsid w:val="00AC4DC6"/>
    <w:rsid w:val="00AC4F56"/>
    <w:rsid w:val="00AC5575"/>
    <w:rsid w:val="00AC568C"/>
    <w:rsid w:val="00AC572D"/>
    <w:rsid w:val="00AC5785"/>
    <w:rsid w:val="00AC57EE"/>
    <w:rsid w:val="00AC588E"/>
    <w:rsid w:val="00AC59D1"/>
    <w:rsid w:val="00AC5C4D"/>
    <w:rsid w:val="00AC5CC8"/>
    <w:rsid w:val="00AC5D68"/>
    <w:rsid w:val="00AC5F73"/>
    <w:rsid w:val="00AC64DC"/>
    <w:rsid w:val="00AC65AC"/>
    <w:rsid w:val="00AC69F9"/>
    <w:rsid w:val="00AC69FC"/>
    <w:rsid w:val="00AC6C2F"/>
    <w:rsid w:val="00AC75B2"/>
    <w:rsid w:val="00AC7622"/>
    <w:rsid w:val="00AC764D"/>
    <w:rsid w:val="00AC79DD"/>
    <w:rsid w:val="00AC7A75"/>
    <w:rsid w:val="00AC7DF3"/>
    <w:rsid w:val="00AD0693"/>
    <w:rsid w:val="00AD0759"/>
    <w:rsid w:val="00AD08A9"/>
    <w:rsid w:val="00AD0A21"/>
    <w:rsid w:val="00AD0AE5"/>
    <w:rsid w:val="00AD1056"/>
    <w:rsid w:val="00AD113D"/>
    <w:rsid w:val="00AD11FE"/>
    <w:rsid w:val="00AD144D"/>
    <w:rsid w:val="00AD151D"/>
    <w:rsid w:val="00AD1653"/>
    <w:rsid w:val="00AD1FC6"/>
    <w:rsid w:val="00AD2248"/>
    <w:rsid w:val="00AD25A2"/>
    <w:rsid w:val="00AD2A72"/>
    <w:rsid w:val="00AD2AF7"/>
    <w:rsid w:val="00AD2F59"/>
    <w:rsid w:val="00AD32DE"/>
    <w:rsid w:val="00AD36EA"/>
    <w:rsid w:val="00AD3BEF"/>
    <w:rsid w:val="00AD3C3D"/>
    <w:rsid w:val="00AD3D09"/>
    <w:rsid w:val="00AD3D26"/>
    <w:rsid w:val="00AD4017"/>
    <w:rsid w:val="00AD45C3"/>
    <w:rsid w:val="00AD4B37"/>
    <w:rsid w:val="00AD56A3"/>
    <w:rsid w:val="00AD579F"/>
    <w:rsid w:val="00AD5A25"/>
    <w:rsid w:val="00AD5F83"/>
    <w:rsid w:val="00AD61F9"/>
    <w:rsid w:val="00AD6692"/>
    <w:rsid w:val="00AD70A7"/>
    <w:rsid w:val="00AD7545"/>
    <w:rsid w:val="00AD7BAA"/>
    <w:rsid w:val="00AE0066"/>
    <w:rsid w:val="00AE016A"/>
    <w:rsid w:val="00AE02AF"/>
    <w:rsid w:val="00AE08D6"/>
    <w:rsid w:val="00AE098B"/>
    <w:rsid w:val="00AE09A8"/>
    <w:rsid w:val="00AE1003"/>
    <w:rsid w:val="00AE1039"/>
    <w:rsid w:val="00AE16D6"/>
    <w:rsid w:val="00AE1826"/>
    <w:rsid w:val="00AE18C7"/>
    <w:rsid w:val="00AE1C09"/>
    <w:rsid w:val="00AE1CE9"/>
    <w:rsid w:val="00AE1D1D"/>
    <w:rsid w:val="00AE1EDE"/>
    <w:rsid w:val="00AE233D"/>
    <w:rsid w:val="00AE23FF"/>
    <w:rsid w:val="00AE2D1D"/>
    <w:rsid w:val="00AE2D36"/>
    <w:rsid w:val="00AE2D6C"/>
    <w:rsid w:val="00AE2F67"/>
    <w:rsid w:val="00AE2FDD"/>
    <w:rsid w:val="00AE3837"/>
    <w:rsid w:val="00AE3878"/>
    <w:rsid w:val="00AE3DB4"/>
    <w:rsid w:val="00AE3E0E"/>
    <w:rsid w:val="00AE3FAB"/>
    <w:rsid w:val="00AE462D"/>
    <w:rsid w:val="00AE49EA"/>
    <w:rsid w:val="00AE4DCA"/>
    <w:rsid w:val="00AE56C9"/>
    <w:rsid w:val="00AE57DD"/>
    <w:rsid w:val="00AE6324"/>
    <w:rsid w:val="00AE633A"/>
    <w:rsid w:val="00AE6AE0"/>
    <w:rsid w:val="00AE70CE"/>
    <w:rsid w:val="00AE7110"/>
    <w:rsid w:val="00AE719F"/>
    <w:rsid w:val="00AE737E"/>
    <w:rsid w:val="00AE746D"/>
    <w:rsid w:val="00AE76DC"/>
    <w:rsid w:val="00AE79E1"/>
    <w:rsid w:val="00AE7C6C"/>
    <w:rsid w:val="00AE7D20"/>
    <w:rsid w:val="00AE7E01"/>
    <w:rsid w:val="00AF00AB"/>
    <w:rsid w:val="00AF048B"/>
    <w:rsid w:val="00AF04B9"/>
    <w:rsid w:val="00AF0525"/>
    <w:rsid w:val="00AF06C7"/>
    <w:rsid w:val="00AF0D31"/>
    <w:rsid w:val="00AF0DA9"/>
    <w:rsid w:val="00AF1101"/>
    <w:rsid w:val="00AF14E7"/>
    <w:rsid w:val="00AF1567"/>
    <w:rsid w:val="00AF17AB"/>
    <w:rsid w:val="00AF2011"/>
    <w:rsid w:val="00AF22D6"/>
    <w:rsid w:val="00AF2493"/>
    <w:rsid w:val="00AF24E8"/>
    <w:rsid w:val="00AF24F4"/>
    <w:rsid w:val="00AF2912"/>
    <w:rsid w:val="00AF2A77"/>
    <w:rsid w:val="00AF31F9"/>
    <w:rsid w:val="00AF3211"/>
    <w:rsid w:val="00AF3408"/>
    <w:rsid w:val="00AF3428"/>
    <w:rsid w:val="00AF3EA4"/>
    <w:rsid w:val="00AF4215"/>
    <w:rsid w:val="00AF4457"/>
    <w:rsid w:val="00AF48C2"/>
    <w:rsid w:val="00AF4C03"/>
    <w:rsid w:val="00AF58BB"/>
    <w:rsid w:val="00AF58FF"/>
    <w:rsid w:val="00AF59A5"/>
    <w:rsid w:val="00AF59D9"/>
    <w:rsid w:val="00AF5AD6"/>
    <w:rsid w:val="00AF5C6B"/>
    <w:rsid w:val="00AF69EE"/>
    <w:rsid w:val="00AF6D8B"/>
    <w:rsid w:val="00AF758E"/>
    <w:rsid w:val="00AF7ACD"/>
    <w:rsid w:val="00AF7B23"/>
    <w:rsid w:val="00AF7B8F"/>
    <w:rsid w:val="00AF7BE1"/>
    <w:rsid w:val="00AF7CE2"/>
    <w:rsid w:val="00AF7E73"/>
    <w:rsid w:val="00AF7E95"/>
    <w:rsid w:val="00AF7F13"/>
    <w:rsid w:val="00B00091"/>
    <w:rsid w:val="00B00101"/>
    <w:rsid w:val="00B00176"/>
    <w:rsid w:val="00B0028E"/>
    <w:rsid w:val="00B00C86"/>
    <w:rsid w:val="00B00E22"/>
    <w:rsid w:val="00B0170E"/>
    <w:rsid w:val="00B01824"/>
    <w:rsid w:val="00B01BE4"/>
    <w:rsid w:val="00B02299"/>
    <w:rsid w:val="00B0231F"/>
    <w:rsid w:val="00B02783"/>
    <w:rsid w:val="00B027C3"/>
    <w:rsid w:val="00B02809"/>
    <w:rsid w:val="00B02EE5"/>
    <w:rsid w:val="00B03AF1"/>
    <w:rsid w:val="00B03C0F"/>
    <w:rsid w:val="00B03F42"/>
    <w:rsid w:val="00B0439B"/>
    <w:rsid w:val="00B043DC"/>
    <w:rsid w:val="00B0466B"/>
    <w:rsid w:val="00B0470F"/>
    <w:rsid w:val="00B04819"/>
    <w:rsid w:val="00B048C8"/>
    <w:rsid w:val="00B04FFD"/>
    <w:rsid w:val="00B05369"/>
    <w:rsid w:val="00B053BE"/>
    <w:rsid w:val="00B053F7"/>
    <w:rsid w:val="00B0541C"/>
    <w:rsid w:val="00B05679"/>
    <w:rsid w:val="00B057DC"/>
    <w:rsid w:val="00B059B9"/>
    <w:rsid w:val="00B059D0"/>
    <w:rsid w:val="00B063E1"/>
    <w:rsid w:val="00B0669D"/>
    <w:rsid w:val="00B0675D"/>
    <w:rsid w:val="00B0691F"/>
    <w:rsid w:val="00B06EB6"/>
    <w:rsid w:val="00B0745B"/>
    <w:rsid w:val="00B07585"/>
    <w:rsid w:val="00B07B52"/>
    <w:rsid w:val="00B07F13"/>
    <w:rsid w:val="00B10160"/>
    <w:rsid w:val="00B10308"/>
    <w:rsid w:val="00B103F3"/>
    <w:rsid w:val="00B1061A"/>
    <w:rsid w:val="00B10676"/>
    <w:rsid w:val="00B108F5"/>
    <w:rsid w:val="00B10E5C"/>
    <w:rsid w:val="00B10F37"/>
    <w:rsid w:val="00B1131A"/>
    <w:rsid w:val="00B11345"/>
    <w:rsid w:val="00B11392"/>
    <w:rsid w:val="00B11E86"/>
    <w:rsid w:val="00B12166"/>
    <w:rsid w:val="00B121D0"/>
    <w:rsid w:val="00B128BE"/>
    <w:rsid w:val="00B12B21"/>
    <w:rsid w:val="00B12DC2"/>
    <w:rsid w:val="00B12E92"/>
    <w:rsid w:val="00B13269"/>
    <w:rsid w:val="00B1326F"/>
    <w:rsid w:val="00B13DC9"/>
    <w:rsid w:val="00B13EE1"/>
    <w:rsid w:val="00B14718"/>
    <w:rsid w:val="00B14EE9"/>
    <w:rsid w:val="00B1551E"/>
    <w:rsid w:val="00B156C4"/>
    <w:rsid w:val="00B15784"/>
    <w:rsid w:val="00B157B6"/>
    <w:rsid w:val="00B163F4"/>
    <w:rsid w:val="00B16610"/>
    <w:rsid w:val="00B16870"/>
    <w:rsid w:val="00B169E8"/>
    <w:rsid w:val="00B16BC1"/>
    <w:rsid w:val="00B16C2B"/>
    <w:rsid w:val="00B16D9C"/>
    <w:rsid w:val="00B170D8"/>
    <w:rsid w:val="00B17200"/>
    <w:rsid w:val="00B175AE"/>
    <w:rsid w:val="00B17673"/>
    <w:rsid w:val="00B1791D"/>
    <w:rsid w:val="00B17C28"/>
    <w:rsid w:val="00B2049F"/>
    <w:rsid w:val="00B20812"/>
    <w:rsid w:val="00B20ED3"/>
    <w:rsid w:val="00B2115F"/>
    <w:rsid w:val="00B21630"/>
    <w:rsid w:val="00B217B6"/>
    <w:rsid w:val="00B21DB5"/>
    <w:rsid w:val="00B2226C"/>
    <w:rsid w:val="00B225BD"/>
    <w:rsid w:val="00B22941"/>
    <w:rsid w:val="00B22B73"/>
    <w:rsid w:val="00B22B9A"/>
    <w:rsid w:val="00B22DC6"/>
    <w:rsid w:val="00B22E3A"/>
    <w:rsid w:val="00B22EC0"/>
    <w:rsid w:val="00B23286"/>
    <w:rsid w:val="00B23357"/>
    <w:rsid w:val="00B2352D"/>
    <w:rsid w:val="00B2363A"/>
    <w:rsid w:val="00B23C2B"/>
    <w:rsid w:val="00B23F05"/>
    <w:rsid w:val="00B245DD"/>
    <w:rsid w:val="00B245F2"/>
    <w:rsid w:val="00B246D2"/>
    <w:rsid w:val="00B24AA4"/>
    <w:rsid w:val="00B24AEB"/>
    <w:rsid w:val="00B24C72"/>
    <w:rsid w:val="00B255E0"/>
    <w:rsid w:val="00B25AB6"/>
    <w:rsid w:val="00B25D02"/>
    <w:rsid w:val="00B2675C"/>
    <w:rsid w:val="00B26DCC"/>
    <w:rsid w:val="00B26FEB"/>
    <w:rsid w:val="00B27290"/>
    <w:rsid w:val="00B27394"/>
    <w:rsid w:val="00B27417"/>
    <w:rsid w:val="00B274AF"/>
    <w:rsid w:val="00B2767E"/>
    <w:rsid w:val="00B27A99"/>
    <w:rsid w:val="00B27C3C"/>
    <w:rsid w:val="00B27F57"/>
    <w:rsid w:val="00B30214"/>
    <w:rsid w:val="00B30233"/>
    <w:rsid w:val="00B30310"/>
    <w:rsid w:val="00B30503"/>
    <w:rsid w:val="00B306AC"/>
    <w:rsid w:val="00B306F3"/>
    <w:rsid w:val="00B30724"/>
    <w:rsid w:val="00B307C0"/>
    <w:rsid w:val="00B30836"/>
    <w:rsid w:val="00B308A3"/>
    <w:rsid w:val="00B30E17"/>
    <w:rsid w:val="00B31360"/>
    <w:rsid w:val="00B318A7"/>
    <w:rsid w:val="00B31ADB"/>
    <w:rsid w:val="00B31DED"/>
    <w:rsid w:val="00B31E1D"/>
    <w:rsid w:val="00B31F00"/>
    <w:rsid w:val="00B31FC1"/>
    <w:rsid w:val="00B320C4"/>
    <w:rsid w:val="00B324F3"/>
    <w:rsid w:val="00B325D9"/>
    <w:rsid w:val="00B32862"/>
    <w:rsid w:val="00B328BD"/>
    <w:rsid w:val="00B32C6E"/>
    <w:rsid w:val="00B332D4"/>
    <w:rsid w:val="00B3374C"/>
    <w:rsid w:val="00B33B2D"/>
    <w:rsid w:val="00B3419A"/>
    <w:rsid w:val="00B346AD"/>
    <w:rsid w:val="00B3477B"/>
    <w:rsid w:val="00B34AD1"/>
    <w:rsid w:val="00B34E03"/>
    <w:rsid w:val="00B3511C"/>
    <w:rsid w:val="00B3560B"/>
    <w:rsid w:val="00B35A49"/>
    <w:rsid w:val="00B35B8E"/>
    <w:rsid w:val="00B3607E"/>
    <w:rsid w:val="00B36308"/>
    <w:rsid w:val="00B36334"/>
    <w:rsid w:val="00B36365"/>
    <w:rsid w:val="00B3646A"/>
    <w:rsid w:val="00B364A8"/>
    <w:rsid w:val="00B36942"/>
    <w:rsid w:val="00B3696A"/>
    <w:rsid w:val="00B36E92"/>
    <w:rsid w:val="00B371CD"/>
    <w:rsid w:val="00B37819"/>
    <w:rsid w:val="00B37982"/>
    <w:rsid w:val="00B37B21"/>
    <w:rsid w:val="00B37DD3"/>
    <w:rsid w:val="00B37E1E"/>
    <w:rsid w:val="00B37FAE"/>
    <w:rsid w:val="00B40006"/>
    <w:rsid w:val="00B4087A"/>
    <w:rsid w:val="00B41022"/>
    <w:rsid w:val="00B41062"/>
    <w:rsid w:val="00B410FA"/>
    <w:rsid w:val="00B412F0"/>
    <w:rsid w:val="00B413F4"/>
    <w:rsid w:val="00B41475"/>
    <w:rsid w:val="00B41496"/>
    <w:rsid w:val="00B4172A"/>
    <w:rsid w:val="00B41A9B"/>
    <w:rsid w:val="00B41C86"/>
    <w:rsid w:val="00B42037"/>
    <w:rsid w:val="00B42127"/>
    <w:rsid w:val="00B428C9"/>
    <w:rsid w:val="00B42A58"/>
    <w:rsid w:val="00B42D92"/>
    <w:rsid w:val="00B42DE2"/>
    <w:rsid w:val="00B43352"/>
    <w:rsid w:val="00B439E5"/>
    <w:rsid w:val="00B439F9"/>
    <w:rsid w:val="00B43B0A"/>
    <w:rsid w:val="00B43DC9"/>
    <w:rsid w:val="00B44018"/>
    <w:rsid w:val="00B4407F"/>
    <w:rsid w:val="00B44304"/>
    <w:rsid w:val="00B4435F"/>
    <w:rsid w:val="00B444B4"/>
    <w:rsid w:val="00B4484A"/>
    <w:rsid w:val="00B44909"/>
    <w:rsid w:val="00B44E82"/>
    <w:rsid w:val="00B450B4"/>
    <w:rsid w:val="00B452BF"/>
    <w:rsid w:val="00B4587C"/>
    <w:rsid w:val="00B45DC9"/>
    <w:rsid w:val="00B45F3D"/>
    <w:rsid w:val="00B463BB"/>
    <w:rsid w:val="00B46ACA"/>
    <w:rsid w:val="00B46B5F"/>
    <w:rsid w:val="00B46F8B"/>
    <w:rsid w:val="00B46FA1"/>
    <w:rsid w:val="00B478D8"/>
    <w:rsid w:val="00B47A7B"/>
    <w:rsid w:val="00B47B12"/>
    <w:rsid w:val="00B50191"/>
    <w:rsid w:val="00B505E3"/>
    <w:rsid w:val="00B50AB5"/>
    <w:rsid w:val="00B50B4C"/>
    <w:rsid w:val="00B50BD7"/>
    <w:rsid w:val="00B50CFA"/>
    <w:rsid w:val="00B51198"/>
    <w:rsid w:val="00B511A7"/>
    <w:rsid w:val="00B519AA"/>
    <w:rsid w:val="00B519C2"/>
    <w:rsid w:val="00B51BB0"/>
    <w:rsid w:val="00B52102"/>
    <w:rsid w:val="00B52167"/>
    <w:rsid w:val="00B52291"/>
    <w:rsid w:val="00B533E2"/>
    <w:rsid w:val="00B53956"/>
    <w:rsid w:val="00B53B4E"/>
    <w:rsid w:val="00B54068"/>
    <w:rsid w:val="00B5429A"/>
    <w:rsid w:val="00B54C41"/>
    <w:rsid w:val="00B54E3A"/>
    <w:rsid w:val="00B556C9"/>
    <w:rsid w:val="00B55731"/>
    <w:rsid w:val="00B55B02"/>
    <w:rsid w:val="00B55C6B"/>
    <w:rsid w:val="00B55DB4"/>
    <w:rsid w:val="00B5628F"/>
    <w:rsid w:val="00B564B3"/>
    <w:rsid w:val="00B56AA7"/>
    <w:rsid w:val="00B57567"/>
    <w:rsid w:val="00B57718"/>
    <w:rsid w:val="00B57831"/>
    <w:rsid w:val="00B57936"/>
    <w:rsid w:val="00B579CA"/>
    <w:rsid w:val="00B57B13"/>
    <w:rsid w:val="00B57E66"/>
    <w:rsid w:val="00B60137"/>
    <w:rsid w:val="00B6047C"/>
    <w:rsid w:val="00B60786"/>
    <w:rsid w:val="00B60B2C"/>
    <w:rsid w:val="00B60BA9"/>
    <w:rsid w:val="00B60C77"/>
    <w:rsid w:val="00B61D3A"/>
    <w:rsid w:val="00B61FB5"/>
    <w:rsid w:val="00B62111"/>
    <w:rsid w:val="00B623A2"/>
    <w:rsid w:val="00B6268E"/>
    <w:rsid w:val="00B626E0"/>
    <w:rsid w:val="00B62CEA"/>
    <w:rsid w:val="00B631D1"/>
    <w:rsid w:val="00B633E5"/>
    <w:rsid w:val="00B6355C"/>
    <w:rsid w:val="00B6377F"/>
    <w:rsid w:val="00B63F4B"/>
    <w:rsid w:val="00B64402"/>
    <w:rsid w:val="00B64ADB"/>
    <w:rsid w:val="00B64CEA"/>
    <w:rsid w:val="00B6537B"/>
    <w:rsid w:val="00B65A75"/>
    <w:rsid w:val="00B65ADF"/>
    <w:rsid w:val="00B65ED8"/>
    <w:rsid w:val="00B66173"/>
    <w:rsid w:val="00B662A2"/>
    <w:rsid w:val="00B662BA"/>
    <w:rsid w:val="00B667DD"/>
    <w:rsid w:val="00B668F1"/>
    <w:rsid w:val="00B673A3"/>
    <w:rsid w:val="00B6757E"/>
    <w:rsid w:val="00B675FD"/>
    <w:rsid w:val="00B679AD"/>
    <w:rsid w:val="00B67A8E"/>
    <w:rsid w:val="00B67FD1"/>
    <w:rsid w:val="00B705B8"/>
    <w:rsid w:val="00B70FC7"/>
    <w:rsid w:val="00B7174A"/>
    <w:rsid w:val="00B71AEF"/>
    <w:rsid w:val="00B71B86"/>
    <w:rsid w:val="00B7242D"/>
    <w:rsid w:val="00B7242E"/>
    <w:rsid w:val="00B72544"/>
    <w:rsid w:val="00B72A45"/>
    <w:rsid w:val="00B72A56"/>
    <w:rsid w:val="00B730DE"/>
    <w:rsid w:val="00B732B5"/>
    <w:rsid w:val="00B732BF"/>
    <w:rsid w:val="00B732E1"/>
    <w:rsid w:val="00B736F1"/>
    <w:rsid w:val="00B73833"/>
    <w:rsid w:val="00B739A4"/>
    <w:rsid w:val="00B739BA"/>
    <w:rsid w:val="00B74442"/>
    <w:rsid w:val="00B745D0"/>
    <w:rsid w:val="00B748C3"/>
    <w:rsid w:val="00B74A0F"/>
    <w:rsid w:val="00B74FC3"/>
    <w:rsid w:val="00B75053"/>
    <w:rsid w:val="00B75131"/>
    <w:rsid w:val="00B75E54"/>
    <w:rsid w:val="00B7604B"/>
    <w:rsid w:val="00B7613F"/>
    <w:rsid w:val="00B7647C"/>
    <w:rsid w:val="00B764A3"/>
    <w:rsid w:val="00B7653C"/>
    <w:rsid w:val="00B76781"/>
    <w:rsid w:val="00B768DE"/>
    <w:rsid w:val="00B76C74"/>
    <w:rsid w:val="00B7763B"/>
    <w:rsid w:val="00B77A92"/>
    <w:rsid w:val="00B77CD7"/>
    <w:rsid w:val="00B802C5"/>
    <w:rsid w:val="00B80433"/>
    <w:rsid w:val="00B80689"/>
    <w:rsid w:val="00B806E2"/>
    <w:rsid w:val="00B8099F"/>
    <w:rsid w:val="00B80C2F"/>
    <w:rsid w:val="00B80CE3"/>
    <w:rsid w:val="00B811C0"/>
    <w:rsid w:val="00B81356"/>
    <w:rsid w:val="00B813EF"/>
    <w:rsid w:val="00B81740"/>
    <w:rsid w:val="00B81D43"/>
    <w:rsid w:val="00B81DD0"/>
    <w:rsid w:val="00B81E41"/>
    <w:rsid w:val="00B821F9"/>
    <w:rsid w:val="00B82386"/>
    <w:rsid w:val="00B825F4"/>
    <w:rsid w:val="00B82733"/>
    <w:rsid w:val="00B82D04"/>
    <w:rsid w:val="00B82D78"/>
    <w:rsid w:val="00B83A0F"/>
    <w:rsid w:val="00B83AF1"/>
    <w:rsid w:val="00B83E0A"/>
    <w:rsid w:val="00B83F0C"/>
    <w:rsid w:val="00B843BC"/>
    <w:rsid w:val="00B845BC"/>
    <w:rsid w:val="00B8465B"/>
    <w:rsid w:val="00B8465E"/>
    <w:rsid w:val="00B8483B"/>
    <w:rsid w:val="00B84E9E"/>
    <w:rsid w:val="00B851BA"/>
    <w:rsid w:val="00B851F2"/>
    <w:rsid w:val="00B856C7"/>
    <w:rsid w:val="00B85762"/>
    <w:rsid w:val="00B858DA"/>
    <w:rsid w:val="00B85D4C"/>
    <w:rsid w:val="00B86286"/>
    <w:rsid w:val="00B86677"/>
    <w:rsid w:val="00B869C9"/>
    <w:rsid w:val="00B86BB9"/>
    <w:rsid w:val="00B86D06"/>
    <w:rsid w:val="00B87506"/>
    <w:rsid w:val="00B8755A"/>
    <w:rsid w:val="00B875D4"/>
    <w:rsid w:val="00B87FE6"/>
    <w:rsid w:val="00B9022C"/>
    <w:rsid w:val="00B90453"/>
    <w:rsid w:val="00B904FB"/>
    <w:rsid w:val="00B905F0"/>
    <w:rsid w:val="00B90949"/>
    <w:rsid w:val="00B9094E"/>
    <w:rsid w:val="00B90FC8"/>
    <w:rsid w:val="00B913D8"/>
    <w:rsid w:val="00B91852"/>
    <w:rsid w:val="00B918D1"/>
    <w:rsid w:val="00B91A1B"/>
    <w:rsid w:val="00B91C98"/>
    <w:rsid w:val="00B9242F"/>
    <w:rsid w:val="00B92D0C"/>
    <w:rsid w:val="00B92F04"/>
    <w:rsid w:val="00B93488"/>
    <w:rsid w:val="00B94077"/>
    <w:rsid w:val="00B943D5"/>
    <w:rsid w:val="00B94ACD"/>
    <w:rsid w:val="00B94C60"/>
    <w:rsid w:val="00B94CEC"/>
    <w:rsid w:val="00B9505D"/>
    <w:rsid w:val="00B95235"/>
    <w:rsid w:val="00B9561B"/>
    <w:rsid w:val="00B95891"/>
    <w:rsid w:val="00B95C80"/>
    <w:rsid w:val="00B96070"/>
    <w:rsid w:val="00B96305"/>
    <w:rsid w:val="00B96C24"/>
    <w:rsid w:val="00B96C4A"/>
    <w:rsid w:val="00B96EA8"/>
    <w:rsid w:val="00B97246"/>
    <w:rsid w:val="00BA023B"/>
    <w:rsid w:val="00BA0251"/>
    <w:rsid w:val="00BA05D6"/>
    <w:rsid w:val="00BA0824"/>
    <w:rsid w:val="00BA0D85"/>
    <w:rsid w:val="00BA0E72"/>
    <w:rsid w:val="00BA11CA"/>
    <w:rsid w:val="00BA124C"/>
    <w:rsid w:val="00BA174F"/>
    <w:rsid w:val="00BA18EC"/>
    <w:rsid w:val="00BA19A6"/>
    <w:rsid w:val="00BA1BC0"/>
    <w:rsid w:val="00BA1CA3"/>
    <w:rsid w:val="00BA1E6D"/>
    <w:rsid w:val="00BA21C0"/>
    <w:rsid w:val="00BA2A08"/>
    <w:rsid w:val="00BA2C09"/>
    <w:rsid w:val="00BA2C68"/>
    <w:rsid w:val="00BA2E9F"/>
    <w:rsid w:val="00BA2F4A"/>
    <w:rsid w:val="00BA3123"/>
    <w:rsid w:val="00BA3395"/>
    <w:rsid w:val="00BA3BC0"/>
    <w:rsid w:val="00BA3CE2"/>
    <w:rsid w:val="00BA428E"/>
    <w:rsid w:val="00BA45D6"/>
    <w:rsid w:val="00BA4FE0"/>
    <w:rsid w:val="00BA542C"/>
    <w:rsid w:val="00BA5796"/>
    <w:rsid w:val="00BA57A4"/>
    <w:rsid w:val="00BA583F"/>
    <w:rsid w:val="00BA5DD5"/>
    <w:rsid w:val="00BA6050"/>
    <w:rsid w:val="00BA609A"/>
    <w:rsid w:val="00BA66E1"/>
    <w:rsid w:val="00BA68AC"/>
    <w:rsid w:val="00BA693E"/>
    <w:rsid w:val="00BA6A94"/>
    <w:rsid w:val="00BA6B7A"/>
    <w:rsid w:val="00BA6B8D"/>
    <w:rsid w:val="00BA6BFD"/>
    <w:rsid w:val="00BA6E5B"/>
    <w:rsid w:val="00BA710C"/>
    <w:rsid w:val="00BA7478"/>
    <w:rsid w:val="00BA786F"/>
    <w:rsid w:val="00BA7924"/>
    <w:rsid w:val="00BA7BFD"/>
    <w:rsid w:val="00BA7D45"/>
    <w:rsid w:val="00BA7DD5"/>
    <w:rsid w:val="00BB03BD"/>
    <w:rsid w:val="00BB07BF"/>
    <w:rsid w:val="00BB0CFB"/>
    <w:rsid w:val="00BB116A"/>
    <w:rsid w:val="00BB120A"/>
    <w:rsid w:val="00BB15D7"/>
    <w:rsid w:val="00BB1680"/>
    <w:rsid w:val="00BB1681"/>
    <w:rsid w:val="00BB1CDF"/>
    <w:rsid w:val="00BB1E15"/>
    <w:rsid w:val="00BB273C"/>
    <w:rsid w:val="00BB2B32"/>
    <w:rsid w:val="00BB2D3A"/>
    <w:rsid w:val="00BB33FA"/>
    <w:rsid w:val="00BB34C7"/>
    <w:rsid w:val="00BB3927"/>
    <w:rsid w:val="00BB4095"/>
    <w:rsid w:val="00BB48A7"/>
    <w:rsid w:val="00BB5054"/>
    <w:rsid w:val="00BB5383"/>
    <w:rsid w:val="00BB53AE"/>
    <w:rsid w:val="00BB5643"/>
    <w:rsid w:val="00BB5685"/>
    <w:rsid w:val="00BB5A66"/>
    <w:rsid w:val="00BB6353"/>
    <w:rsid w:val="00BB678B"/>
    <w:rsid w:val="00BB6A5B"/>
    <w:rsid w:val="00BB6A9C"/>
    <w:rsid w:val="00BB6B95"/>
    <w:rsid w:val="00BB745E"/>
    <w:rsid w:val="00BB7990"/>
    <w:rsid w:val="00BB7C7D"/>
    <w:rsid w:val="00BB7CEE"/>
    <w:rsid w:val="00BB7E5C"/>
    <w:rsid w:val="00BB7F5D"/>
    <w:rsid w:val="00BC04F1"/>
    <w:rsid w:val="00BC0827"/>
    <w:rsid w:val="00BC0C14"/>
    <w:rsid w:val="00BC1161"/>
    <w:rsid w:val="00BC11F8"/>
    <w:rsid w:val="00BC137E"/>
    <w:rsid w:val="00BC1524"/>
    <w:rsid w:val="00BC1588"/>
    <w:rsid w:val="00BC1614"/>
    <w:rsid w:val="00BC1997"/>
    <w:rsid w:val="00BC1BF4"/>
    <w:rsid w:val="00BC1C61"/>
    <w:rsid w:val="00BC2056"/>
    <w:rsid w:val="00BC2264"/>
    <w:rsid w:val="00BC22BF"/>
    <w:rsid w:val="00BC26B8"/>
    <w:rsid w:val="00BC2B66"/>
    <w:rsid w:val="00BC2CD1"/>
    <w:rsid w:val="00BC31DC"/>
    <w:rsid w:val="00BC3310"/>
    <w:rsid w:val="00BC361E"/>
    <w:rsid w:val="00BC36C9"/>
    <w:rsid w:val="00BC3802"/>
    <w:rsid w:val="00BC3B64"/>
    <w:rsid w:val="00BC3CA6"/>
    <w:rsid w:val="00BC3FC0"/>
    <w:rsid w:val="00BC4AC5"/>
    <w:rsid w:val="00BC4F6F"/>
    <w:rsid w:val="00BC5680"/>
    <w:rsid w:val="00BC5A0D"/>
    <w:rsid w:val="00BC61DB"/>
    <w:rsid w:val="00BC6473"/>
    <w:rsid w:val="00BC654F"/>
    <w:rsid w:val="00BC659E"/>
    <w:rsid w:val="00BC6A8B"/>
    <w:rsid w:val="00BC6E10"/>
    <w:rsid w:val="00BC6E55"/>
    <w:rsid w:val="00BC7082"/>
    <w:rsid w:val="00BC71F0"/>
    <w:rsid w:val="00BC7232"/>
    <w:rsid w:val="00BC73D7"/>
    <w:rsid w:val="00BC73DB"/>
    <w:rsid w:val="00BC751F"/>
    <w:rsid w:val="00BC7761"/>
    <w:rsid w:val="00BC78B9"/>
    <w:rsid w:val="00BC7C33"/>
    <w:rsid w:val="00BC7DE3"/>
    <w:rsid w:val="00BD0543"/>
    <w:rsid w:val="00BD0590"/>
    <w:rsid w:val="00BD07DE"/>
    <w:rsid w:val="00BD07FF"/>
    <w:rsid w:val="00BD106D"/>
    <w:rsid w:val="00BD10EB"/>
    <w:rsid w:val="00BD18F3"/>
    <w:rsid w:val="00BD1CA3"/>
    <w:rsid w:val="00BD1DD7"/>
    <w:rsid w:val="00BD2331"/>
    <w:rsid w:val="00BD2621"/>
    <w:rsid w:val="00BD2FC4"/>
    <w:rsid w:val="00BD3403"/>
    <w:rsid w:val="00BD3750"/>
    <w:rsid w:val="00BD4073"/>
    <w:rsid w:val="00BD40C6"/>
    <w:rsid w:val="00BD415B"/>
    <w:rsid w:val="00BD4325"/>
    <w:rsid w:val="00BD43E1"/>
    <w:rsid w:val="00BD4E85"/>
    <w:rsid w:val="00BD514E"/>
    <w:rsid w:val="00BD52D1"/>
    <w:rsid w:val="00BD54A1"/>
    <w:rsid w:val="00BD573D"/>
    <w:rsid w:val="00BD5753"/>
    <w:rsid w:val="00BD5BFA"/>
    <w:rsid w:val="00BD5D50"/>
    <w:rsid w:val="00BD61B5"/>
    <w:rsid w:val="00BD689C"/>
    <w:rsid w:val="00BD697F"/>
    <w:rsid w:val="00BD6B40"/>
    <w:rsid w:val="00BD6B89"/>
    <w:rsid w:val="00BD6BC4"/>
    <w:rsid w:val="00BD6C72"/>
    <w:rsid w:val="00BD6C7A"/>
    <w:rsid w:val="00BD6E21"/>
    <w:rsid w:val="00BD6F95"/>
    <w:rsid w:val="00BD72E5"/>
    <w:rsid w:val="00BD7399"/>
    <w:rsid w:val="00BD76EA"/>
    <w:rsid w:val="00BD7C77"/>
    <w:rsid w:val="00BE0054"/>
    <w:rsid w:val="00BE052A"/>
    <w:rsid w:val="00BE0702"/>
    <w:rsid w:val="00BE0AF7"/>
    <w:rsid w:val="00BE0BBB"/>
    <w:rsid w:val="00BE12C6"/>
    <w:rsid w:val="00BE1711"/>
    <w:rsid w:val="00BE1777"/>
    <w:rsid w:val="00BE1FF5"/>
    <w:rsid w:val="00BE25E6"/>
    <w:rsid w:val="00BE2991"/>
    <w:rsid w:val="00BE2F01"/>
    <w:rsid w:val="00BE304C"/>
    <w:rsid w:val="00BE31FB"/>
    <w:rsid w:val="00BE3572"/>
    <w:rsid w:val="00BE399D"/>
    <w:rsid w:val="00BE39FF"/>
    <w:rsid w:val="00BE3A38"/>
    <w:rsid w:val="00BE3C13"/>
    <w:rsid w:val="00BE3DDD"/>
    <w:rsid w:val="00BE3E67"/>
    <w:rsid w:val="00BE4264"/>
    <w:rsid w:val="00BE43B5"/>
    <w:rsid w:val="00BE462A"/>
    <w:rsid w:val="00BE4790"/>
    <w:rsid w:val="00BE4C26"/>
    <w:rsid w:val="00BE4F60"/>
    <w:rsid w:val="00BE5AB3"/>
    <w:rsid w:val="00BE5ADB"/>
    <w:rsid w:val="00BE5B4C"/>
    <w:rsid w:val="00BE5D95"/>
    <w:rsid w:val="00BE6224"/>
    <w:rsid w:val="00BE6528"/>
    <w:rsid w:val="00BE65D6"/>
    <w:rsid w:val="00BE6750"/>
    <w:rsid w:val="00BE69CE"/>
    <w:rsid w:val="00BE6D30"/>
    <w:rsid w:val="00BE75D9"/>
    <w:rsid w:val="00BE78DD"/>
    <w:rsid w:val="00BE7ECE"/>
    <w:rsid w:val="00BF01B0"/>
    <w:rsid w:val="00BF0440"/>
    <w:rsid w:val="00BF0C41"/>
    <w:rsid w:val="00BF0D6A"/>
    <w:rsid w:val="00BF11A2"/>
    <w:rsid w:val="00BF141E"/>
    <w:rsid w:val="00BF1948"/>
    <w:rsid w:val="00BF1A10"/>
    <w:rsid w:val="00BF1CC4"/>
    <w:rsid w:val="00BF22A9"/>
    <w:rsid w:val="00BF23C7"/>
    <w:rsid w:val="00BF2BAE"/>
    <w:rsid w:val="00BF2E3B"/>
    <w:rsid w:val="00BF3863"/>
    <w:rsid w:val="00BF3A1F"/>
    <w:rsid w:val="00BF3E51"/>
    <w:rsid w:val="00BF413D"/>
    <w:rsid w:val="00BF47DB"/>
    <w:rsid w:val="00BF4B10"/>
    <w:rsid w:val="00BF4F49"/>
    <w:rsid w:val="00BF5574"/>
    <w:rsid w:val="00BF5A5F"/>
    <w:rsid w:val="00BF5A9F"/>
    <w:rsid w:val="00BF5CE6"/>
    <w:rsid w:val="00BF5FAF"/>
    <w:rsid w:val="00BF621A"/>
    <w:rsid w:val="00BF63FE"/>
    <w:rsid w:val="00BF651F"/>
    <w:rsid w:val="00BF6B07"/>
    <w:rsid w:val="00BF6B92"/>
    <w:rsid w:val="00BF6EAC"/>
    <w:rsid w:val="00BF7243"/>
    <w:rsid w:val="00BF7AB9"/>
    <w:rsid w:val="00BF7C50"/>
    <w:rsid w:val="00C000ED"/>
    <w:rsid w:val="00C00840"/>
    <w:rsid w:val="00C009C1"/>
    <w:rsid w:val="00C00AD4"/>
    <w:rsid w:val="00C00C4D"/>
    <w:rsid w:val="00C013D7"/>
    <w:rsid w:val="00C0236C"/>
    <w:rsid w:val="00C02471"/>
    <w:rsid w:val="00C02B58"/>
    <w:rsid w:val="00C02C45"/>
    <w:rsid w:val="00C02E2B"/>
    <w:rsid w:val="00C0349B"/>
    <w:rsid w:val="00C0380C"/>
    <w:rsid w:val="00C042ED"/>
    <w:rsid w:val="00C04330"/>
    <w:rsid w:val="00C04707"/>
    <w:rsid w:val="00C0475B"/>
    <w:rsid w:val="00C04A74"/>
    <w:rsid w:val="00C04B37"/>
    <w:rsid w:val="00C05471"/>
    <w:rsid w:val="00C05497"/>
    <w:rsid w:val="00C055E5"/>
    <w:rsid w:val="00C05C69"/>
    <w:rsid w:val="00C05C82"/>
    <w:rsid w:val="00C05D97"/>
    <w:rsid w:val="00C05ED7"/>
    <w:rsid w:val="00C0606E"/>
    <w:rsid w:val="00C0683A"/>
    <w:rsid w:val="00C06C01"/>
    <w:rsid w:val="00C07688"/>
    <w:rsid w:val="00C0768F"/>
    <w:rsid w:val="00C07917"/>
    <w:rsid w:val="00C1004B"/>
    <w:rsid w:val="00C100F8"/>
    <w:rsid w:val="00C1030C"/>
    <w:rsid w:val="00C1085B"/>
    <w:rsid w:val="00C10926"/>
    <w:rsid w:val="00C109E2"/>
    <w:rsid w:val="00C10A25"/>
    <w:rsid w:val="00C10B4C"/>
    <w:rsid w:val="00C10C83"/>
    <w:rsid w:val="00C10D69"/>
    <w:rsid w:val="00C10D9E"/>
    <w:rsid w:val="00C11566"/>
    <w:rsid w:val="00C11862"/>
    <w:rsid w:val="00C11B45"/>
    <w:rsid w:val="00C11B8A"/>
    <w:rsid w:val="00C11DAF"/>
    <w:rsid w:val="00C11E77"/>
    <w:rsid w:val="00C120D6"/>
    <w:rsid w:val="00C12301"/>
    <w:rsid w:val="00C13470"/>
    <w:rsid w:val="00C13864"/>
    <w:rsid w:val="00C13AA4"/>
    <w:rsid w:val="00C13AD4"/>
    <w:rsid w:val="00C13D12"/>
    <w:rsid w:val="00C13EF6"/>
    <w:rsid w:val="00C13FF7"/>
    <w:rsid w:val="00C146EF"/>
    <w:rsid w:val="00C148CF"/>
    <w:rsid w:val="00C149E3"/>
    <w:rsid w:val="00C14B7F"/>
    <w:rsid w:val="00C14BEF"/>
    <w:rsid w:val="00C14D5A"/>
    <w:rsid w:val="00C14D8F"/>
    <w:rsid w:val="00C15073"/>
    <w:rsid w:val="00C15172"/>
    <w:rsid w:val="00C152B1"/>
    <w:rsid w:val="00C15571"/>
    <w:rsid w:val="00C15842"/>
    <w:rsid w:val="00C158CC"/>
    <w:rsid w:val="00C160DE"/>
    <w:rsid w:val="00C16A30"/>
    <w:rsid w:val="00C16ED5"/>
    <w:rsid w:val="00C172AA"/>
    <w:rsid w:val="00C17700"/>
    <w:rsid w:val="00C17C4F"/>
    <w:rsid w:val="00C17FD3"/>
    <w:rsid w:val="00C20C34"/>
    <w:rsid w:val="00C20CE7"/>
    <w:rsid w:val="00C20F00"/>
    <w:rsid w:val="00C21348"/>
    <w:rsid w:val="00C2159C"/>
    <w:rsid w:val="00C2175A"/>
    <w:rsid w:val="00C2180D"/>
    <w:rsid w:val="00C21B1E"/>
    <w:rsid w:val="00C21C8F"/>
    <w:rsid w:val="00C2219A"/>
    <w:rsid w:val="00C22479"/>
    <w:rsid w:val="00C22625"/>
    <w:rsid w:val="00C22942"/>
    <w:rsid w:val="00C22BB7"/>
    <w:rsid w:val="00C22CC2"/>
    <w:rsid w:val="00C22EED"/>
    <w:rsid w:val="00C239D9"/>
    <w:rsid w:val="00C23A1B"/>
    <w:rsid w:val="00C23E2E"/>
    <w:rsid w:val="00C23ED4"/>
    <w:rsid w:val="00C2425C"/>
    <w:rsid w:val="00C24375"/>
    <w:rsid w:val="00C24B28"/>
    <w:rsid w:val="00C24B71"/>
    <w:rsid w:val="00C2573D"/>
    <w:rsid w:val="00C257C9"/>
    <w:rsid w:val="00C257E0"/>
    <w:rsid w:val="00C25D71"/>
    <w:rsid w:val="00C25DB0"/>
    <w:rsid w:val="00C25FAB"/>
    <w:rsid w:val="00C260A6"/>
    <w:rsid w:val="00C26521"/>
    <w:rsid w:val="00C26778"/>
    <w:rsid w:val="00C2679C"/>
    <w:rsid w:val="00C26832"/>
    <w:rsid w:val="00C26AFD"/>
    <w:rsid w:val="00C27835"/>
    <w:rsid w:val="00C27AFD"/>
    <w:rsid w:val="00C27E67"/>
    <w:rsid w:val="00C30114"/>
    <w:rsid w:val="00C30155"/>
    <w:rsid w:val="00C301B3"/>
    <w:rsid w:val="00C30639"/>
    <w:rsid w:val="00C308DC"/>
    <w:rsid w:val="00C30F97"/>
    <w:rsid w:val="00C3133B"/>
    <w:rsid w:val="00C31453"/>
    <w:rsid w:val="00C31805"/>
    <w:rsid w:val="00C31B49"/>
    <w:rsid w:val="00C32887"/>
    <w:rsid w:val="00C329CE"/>
    <w:rsid w:val="00C32ED6"/>
    <w:rsid w:val="00C32F4B"/>
    <w:rsid w:val="00C32F98"/>
    <w:rsid w:val="00C333B8"/>
    <w:rsid w:val="00C33520"/>
    <w:rsid w:val="00C33C77"/>
    <w:rsid w:val="00C33D2C"/>
    <w:rsid w:val="00C33DBA"/>
    <w:rsid w:val="00C33EE9"/>
    <w:rsid w:val="00C342B2"/>
    <w:rsid w:val="00C3439F"/>
    <w:rsid w:val="00C34765"/>
    <w:rsid w:val="00C34AF6"/>
    <w:rsid w:val="00C34DD7"/>
    <w:rsid w:val="00C34E1E"/>
    <w:rsid w:val="00C34FAA"/>
    <w:rsid w:val="00C35498"/>
    <w:rsid w:val="00C358A4"/>
    <w:rsid w:val="00C35B6B"/>
    <w:rsid w:val="00C35E41"/>
    <w:rsid w:val="00C36151"/>
    <w:rsid w:val="00C3702C"/>
    <w:rsid w:val="00C370E2"/>
    <w:rsid w:val="00C3743F"/>
    <w:rsid w:val="00C37A48"/>
    <w:rsid w:val="00C403D2"/>
    <w:rsid w:val="00C406A5"/>
    <w:rsid w:val="00C40877"/>
    <w:rsid w:val="00C40BEB"/>
    <w:rsid w:val="00C40C9B"/>
    <w:rsid w:val="00C418BC"/>
    <w:rsid w:val="00C41B3E"/>
    <w:rsid w:val="00C41B51"/>
    <w:rsid w:val="00C41D59"/>
    <w:rsid w:val="00C42317"/>
    <w:rsid w:val="00C42728"/>
    <w:rsid w:val="00C42838"/>
    <w:rsid w:val="00C43427"/>
    <w:rsid w:val="00C4342F"/>
    <w:rsid w:val="00C439E0"/>
    <w:rsid w:val="00C44B1F"/>
    <w:rsid w:val="00C44C79"/>
    <w:rsid w:val="00C44CC4"/>
    <w:rsid w:val="00C44F8A"/>
    <w:rsid w:val="00C450F6"/>
    <w:rsid w:val="00C455D4"/>
    <w:rsid w:val="00C45651"/>
    <w:rsid w:val="00C45709"/>
    <w:rsid w:val="00C45D24"/>
    <w:rsid w:val="00C45D94"/>
    <w:rsid w:val="00C46110"/>
    <w:rsid w:val="00C461E5"/>
    <w:rsid w:val="00C46248"/>
    <w:rsid w:val="00C4669C"/>
    <w:rsid w:val="00C468EE"/>
    <w:rsid w:val="00C46A14"/>
    <w:rsid w:val="00C46AFF"/>
    <w:rsid w:val="00C46CC1"/>
    <w:rsid w:val="00C4716E"/>
    <w:rsid w:val="00C476B9"/>
    <w:rsid w:val="00C479E4"/>
    <w:rsid w:val="00C47E7D"/>
    <w:rsid w:val="00C5079A"/>
    <w:rsid w:val="00C51200"/>
    <w:rsid w:val="00C513B1"/>
    <w:rsid w:val="00C51545"/>
    <w:rsid w:val="00C515F9"/>
    <w:rsid w:val="00C517C2"/>
    <w:rsid w:val="00C51B31"/>
    <w:rsid w:val="00C51C2B"/>
    <w:rsid w:val="00C520FA"/>
    <w:rsid w:val="00C52EC1"/>
    <w:rsid w:val="00C53065"/>
    <w:rsid w:val="00C535EA"/>
    <w:rsid w:val="00C538EA"/>
    <w:rsid w:val="00C5393D"/>
    <w:rsid w:val="00C53F9E"/>
    <w:rsid w:val="00C53FA7"/>
    <w:rsid w:val="00C540EB"/>
    <w:rsid w:val="00C543B7"/>
    <w:rsid w:val="00C546EA"/>
    <w:rsid w:val="00C5499C"/>
    <w:rsid w:val="00C54BD0"/>
    <w:rsid w:val="00C54CE3"/>
    <w:rsid w:val="00C550B3"/>
    <w:rsid w:val="00C55407"/>
    <w:rsid w:val="00C55515"/>
    <w:rsid w:val="00C55551"/>
    <w:rsid w:val="00C55F9C"/>
    <w:rsid w:val="00C565CF"/>
    <w:rsid w:val="00C56A50"/>
    <w:rsid w:val="00C56C19"/>
    <w:rsid w:val="00C56CBC"/>
    <w:rsid w:val="00C56DE1"/>
    <w:rsid w:val="00C5769E"/>
    <w:rsid w:val="00C57B0C"/>
    <w:rsid w:val="00C6014A"/>
    <w:rsid w:val="00C60A0A"/>
    <w:rsid w:val="00C60C02"/>
    <w:rsid w:val="00C60F01"/>
    <w:rsid w:val="00C61130"/>
    <w:rsid w:val="00C612B7"/>
    <w:rsid w:val="00C61534"/>
    <w:rsid w:val="00C61901"/>
    <w:rsid w:val="00C61E01"/>
    <w:rsid w:val="00C62038"/>
    <w:rsid w:val="00C6234A"/>
    <w:rsid w:val="00C623ED"/>
    <w:rsid w:val="00C626C6"/>
    <w:rsid w:val="00C62837"/>
    <w:rsid w:val="00C6299B"/>
    <w:rsid w:val="00C629CD"/>
    <w:rsid w:val="00C62B75"/>
    <w:rsid w:val="00C6340D"/>
    <w:rsid w:val="00C6376F"/>
    <w:rsid w:val="00C63FDF"/>
    <w:rsid w:val="00C6420F"/>
    <w:rsid w:val="00C648E1"/>
    <w:rsid w:val="00C64CB1"/>
    <w:rsid w:val="00C64D22"/>
    <w:rsid w:val="00C64D66"/>
    <w:rsid w:val="00C65192"/>
    <w:rsid w:val="00C651A3"/>
    <w:rsid w:val="00C6567C"/>
    <w:rsid w:val="00C656EB"/>
    <w:rsid w:val="00C662C1"/>
    <w:rsid w:val="00C66506"/>
    <w:rsid w:val="00C666AC"/>
    <w:rsid w:val="00C66B81"/>
    <w:rsid w:val="00C66E6D"/>
    <w:rsid w:val="00C66FE1"/>
    <w:rsid w:val="00C675BB"/>
    <w:rsid w:val="00C677B9"/>
    <w:rsid w:val="00C67846"/>
    <w:rsid w:val="00C6798F"/>
    <w:rsid w:val="00C679B3"/>
    <w:rsid w:val="00C701D5"/>
    <w:rsid w:val="00C70392"/>
    <w:rsid w:val="00C7073C"/>
    <w:rsid w:val="00C712AC"/>
    <w:rsid w:val="00C71493"/>
    <w:rsid w:val="00C716E9"/>
    <w:rsid w:val="00C72242"/>
    <w:rsid w:val="00C724BC"/>
    <w:rsid w:val="00C724F8"/>
    <w:rsid w:val="00C72D70"/>
    <w:rsid w:val="00C72E32"/>
    <w:rsid w:val="00C73276"/>
    <w:rsid w:val="00C736E5"/>
    <w:rsid w:val="00C74902"/>
    <w:rsid w:val="00C7495B"/>
    <w:rsid w:val="00C74A88"/>
    <w:rsid w:val="00C74C1D"/>
    <w:rsid w:val="00C75799"/>
    <w:rsid w:val="00C7591F"/>
    <w:rsid w:val="00C75ADB"/>
    <w:rsid w:val="00C75B31"/>
    <w:rsid w:val="00C75BA2"/>
    <w:rsid w:val="00C76090"/>
    <w:rsid w:val="00C761BA"/>
    <w:rsid w:val="00C76396"/>
    <w:rsid w:val="00C76969"/>
    <w:rsid w:val="00C77359"/>
    <w:rsid w:val="00C774BD"/>
    <w:rsid w:val="00C774FC"/>
    <w:rsid w:val="00C77653"/>
    <w:rsid w:val="00C777A0"/>
    <w:rsid w:val="00C77840"/>
    <w:rsid w:val="00C77CC5"/>
    <w:rsid w:val="00C77DDB"/>
    <w:rsid w:val="00C77DF6"/>
    <w:rsid w:val="00C802A4"/>
    <w:rsid w:val="00C804F5"/>
    <w:rsid w:val="00C80A85"/>
    <w:rsid w:val="00C80AB6"/>
    <w:rsid w:val="00C810D2"/>
    <w:rsid w:val="00C8127B"/>
    <w:rsid w:val="00C812D2"/>
    <w:rsid w:val="00C81397"/>
    <w:rsid w:val="00C81592"/>
    <w:rsid w:val="00C81946"/>
    <w:rsid w:val="00C81F76"/>
    <w:rsid w:val="00C82087"/>
    <w:rsid w:val="00C828B5"/>
    <w:rsid w:val="00C83207"/>
    <w:rsid w:val="00C84022"/>
    <w:rsid w:val="00C84230"/>
    <w:rsid w:val="00C845EF"/>
    <w:rsid w:val="00C846FC"/>
    <w:rsid w:val="00C84A55"/>
    <w:rsid w:val="00C84D8C"/>
    <w:rsid w:val="00C84E92"/>
    <w:rsid w:val="00C854B4"/>
    <w:rsid w:val="00C8553F"/>
    <w:rsid w:val="00C8583B"/>
    <w:rsid w:val="00C85B31"/>
    <w:rsid w:val="00C85BA6"/>
    <w:rsid w:val="00C861CB"/>
    <w:rsid w:val="00C862F3"/>
    <w:rsid w:val="00C86815"/>
    <w:rsid w:val="00C868C6"/>
    <w:rsid w:val="00C876E0"/>
    <w:rsid w:val="00C87D77"/>
    <w:rsid w:val="00C901AA"/>
    <w:rsid w:val="00C9033D"/>
    <w:rsid w:val="00C90367"/>
    <w:rsid w:val="00C9083A"/>
    <w:rsid w:val="00C90BF7"/>
    <w:rsid w:val="00C91852"/>
    <w:rsid w:val="00C92003"/>
    <w:rsid w:val="00C928F8"/>
    <w:rsid w:val="00C92F05"/>
    <w:rsid w:val="00C934C3"/>
    <w:rsid w:val="00C9361B"/>
    <w:rsid w:val="00C937C8"/>
    <w:rsid w:val="00C93A3C"/>
    <w:rsid w:val="00C93A4A"/>
    <w:rsid w:val="00C940D0"/>
    <w:rsid w:val="00C94139"/>
    <w:rsid w:val="00C944D7"/>
    <w:rsid w:val="00C94B94"/>
    <w:rsid w:val="00C94E0F"/>
    <w:rsid w:val="00C951D2"/>
    <w:rsid w:val="00C96648"/>
    <w:rsid w:val="00C967B4"/>
    <w:rsid w:val="00C96A45"/>
    <w:rsid w:val="00C96B8B"/>
    <w:rsid w:val="00C976A5"/>
    <w:rsid w:val="00C977AD"/>
    <w:rsid w:val="00C97A29"/>
    <w:rsid w:val="00C97BB8"/>
    <w:rsid w:val="00CA0496"/>
    <w:rsid w:val="00CA0C0B"/>
    <w:rsid w:val="00CA13A1"/>
    <w:rsid w:val="00CA19FD"/>
    <w:rsid w:val="00CA1CB5"/>
    <w:rsid w:val="00CA238F"/>
    <w:rsid w:val="00CA2955"/>
    <w:rsid w:val="00CA2E0B"/>
    <w:rsid w:val="00CA2EF3"/>
    <w:rsid w:val="00CA30B8"/>
    <w:rsid w:val="00CA3ACE"/>
    <w:rsid w:val="00CA3D59"/>
    <w:rsid w:val="00CA3F1C"/>
    <w:rsid w:val="00CA4433"/>
    <w:rsid w:val="00CA4964"/>
    <w:rsid w:val="00CA497B"/>
    <w:rsid w:val="00CA4B56"/>
    <w:rsid w:val="00CA52A3"/>
    <w:rsid w:val="00CA5730"/>
    <w:rsid w:val="00CA5AA8"/>
    <w:rsid w:val="00CA5D9E"/>
    <w:rsid w:val="00CA5E7A"/>
    <w:rsid w:val="00CA6849"/>
    <w:rsid w:val="00CA6C54"/>
    <w:rsid w:val="00CA6D1E"/>
    <w:rsid w:val="00CA7101"/>
    <w:rsid w:val="00CA74F7"/>
    <w:rsid w:val="00CA7A5D"/>
    <w:rsid w:val="00CA7CC2"/>
    <w:rsid w:val="00CA7D1B"/>
    <w:rsid w:val="00CA7E60"/>
    <w:rsid w:val="00CA7EB2"/>
    <w:rsid w:val="00CA7FE7"/>
    <w:rsid w:val="00CB037E"/>
    <w:rsid w:val="00CB0AF2"/>
    <w:rsid w:val="00CB0EC1"/>
    <w:rsid w:val="00CB0FE9"/>
    <w:rsid w:val="00CB1022"/>
    <w:rsid w:val="00CB1164"/>
    <w:rsid w:val="00CB11A7"/>
    <w:rsid w:val="00CB12AE"/>
    <w:rsid w:val="00CB1329"/>
    <w:rsid w:val="00CB14E8"/>
    <w:rsid w:val="00CB1517"/>
    <w:rsid w:val="00CB1531"/>
    <w:rsid w:val="00CB15E5"/>
    <w:rsid w:val="00CB1B32"/>
    <w:rsid w:val="00CB1C92"/>
    <w:rsid w:val="00CB1E10"/>
    <w:rsid w:val="00CB2429"/>
    <w:rsid w:val="00CB243C"/>
    <w:rsid w:val="00CB2AE6"/>
    <w:rsid w:val="00CB2C82"/>
    <w:rsid w:val="00CB3120"/>
    <w:rsid w:val="00CB4152"/>
    <w:rsid w:val="00CB41E7"/>
    <w:rsid w:val="00CB44BA"/>
    <w:rsid w:val="00CB44BE"/>
    <w:rsid w:val="00CB45EA"/>
    <w:rsid w:val="00CB54F3"/>
    <w:rsid w:val="00CB58E4"/>
    <w:rsid w:val="00CB5AD1"/>
    <w:rsid w:val="00CB5B74"/>
    <w:rsid w:val="00CB656F"/>
    <w:rsid w:val="00CB6696"/>
    <w:rsid w:val="00CB6FBD"/>
    <w:rsid w:val="00CB7345"/>
    <w:rsid w:val="00CB749D"/>
    <w:rsid w:val="00CB74EB"/>
    <w:rsid w:val="00CB7FE2"/>
    <w:rsid w:val="00CC003B"/>
    <w:rsid w:val="00CC0285"/>
    <w:rsid w:val="00CC048C"/>
    <w:rsid w:val="00CC05F8"/>
    <w:rsid w:val="00CC0C4F"/>
    <w:rsid w:val="00CC0DCB"/>
    <w:rsid w:val="00CC15CE"/>
    <w:rsid w:val="00CC183E"/>
    <w:rsid w:val="00CC20FD"/>
    <w:rsid w:val="00CC2BCA"/>
    <w:rsid w:val="00CC2D83"/>
    <w:rsid w:val="00CC3188"/>
    <w:rsid w:val="00CC32D6"/>
    <w:rsid w:val="00CC33D5"/>
    <w:rsid w:val="00CC37E0"/>
    <w:rsid w:val="00CC3CE5"/>
    <w:rsid w:val="00CC3DAC"/>
    <w:rsid w:val="00CC3EB2"/>
    <w:rsid w:val="00CC40C0"/>
    <w:rsid w:val="00CC4479"/>
    <w:rsid w:val="00CC45E0"/>
    <w:rsid w:val="00CC4931"/>
    <w:rsid w:val="00CC4E0F"/>
    <w:rsid w:val="00CC54D8"/>
    <w:rsid w:val="00CC55E6"/>
    <w:rsid w:val="00CC5890"/>
    <w:rsid w:val="00CC5B17"/>
    <w:rsid w:val="00CC5D8F"/>
    <w:rsid w:val="00CC5DBD"/>
    <w:rsid w:val="00CC5DF2"/>
    <w:rsid w:val="00CC65B4"/>
    <w:rsid w:val="00CC660C"/>
    <w:rsid w:val="00CC6979"/>
    <w:rsid w:val="00CC6D35"/>
    <w:rsid w:val="00CC6E44"/>
    <w:rsid w:val="00CC702F"/>
    <w:rsid w:val="00CC7407"/>
    <w:rsid w:val="00CC788F"/>
    <w:rsid w:val="00CC7DC8"/>
    <w:rsid w:val="00CC7E73"/>
    <w:rsid w:val="00CC7FB3"/>
    <w:rsid w:val="00CD000A"/>
    <w:rsid w:val="00CD00B3"/>
    <w:rsid w:val="00CD024B"/>
    <w:rsid w:val="00CD03B8"/>
    <w:rsid w:val="00CD0A40"/>
    <w:rsid w:val="00CD0B0D"/>
    <w:rsid w:val="00CD1228"/>
    <w:rsid w:val="00CD1643"/>
    <w:rsid w:val="00CD181A"/>
    <w:rsid w:val="00CD1A62"/>
    <w:rsid w:val="00CD1D4A"/>
    <w:rsid w:val="00CD1DCD"/>
    <w:rsid w:val="00CD212C"/>
    <w:rsid w:val="00CD21B2"/>
    <w:rsid w:val="00CD25CF"/>
    <w:rsid w:val="00CD2655"/>
    <w:rsid w:val="00CD2865"/>
    <w:rsid w:val="00CD2B04"/>
    <w:rsid w:val="00CD2B1B"/>
    <w:rsid w:val="00CD2FA5"/>
    <w:rsid w:val="00CD38A8"/>
    <w:rsid w:val="00CD396D"/>
    <w:rsid w:val="00CD3ABF"/>
    <w:rsid w:val="00CD3E17"/>
    <w:rsid w:val="00CD46AC"/>
    <w:rsid w:val="00CD4ADE"/>
    <w:rsid w:val="00CD4F73"/>
    <w:rsid w:val="00CD5158"/>
    <w:rsid w:val="00CD5272"/>
    <w:rsid w:val="00CD5529"/>
    <w:rsid w:val="00CD59B0"/>
    <w:rsid w:val="00CD62AA"/>
    <w:rsid w:val="00CD648D"/>
    <w:rsid w:val="00CD6A1A"/>
    <w:rsid w:val="00CD6A34"/>
    <w:rsid w:val="00CD70CC"/>
    <w:rsid w:val="00CD74C0"/>
    <w:rsid w:val="00CD7807"/>
    <w:rsid w:val="00CD7CA5"/>
    <w:rsid w:val="00CD7F59"/>
    <w:rsid w:val="00CE05F9"/>
    <w:rsid w:val="00CE06ED"/>
    <w:rsid w:val="00CE083B"/>
    <w:rsid w:val="00CE088C"/>
    <w:rsid w:val="00CE0BBB"/>
    <w:rsid w:val="00CE0CA0"/>
    <w:rsid w:val="00CE0D57"/>
    <w:rsid w:val="00CE1060"/>
    <w:rsid w:val="00CE146D"/>
    <w:rsid w:val="00CE190B"/>
    <w:rsid w:val="00CE1CA8"/>
    <w:rsid w:val="00CE20F4"/>
    <w:rsid w:val="00CE21D3"/>
    <w:rsid w:val="00CE2403"/>
    <w:rsid w:val="00CE2761"/>
    <w:rsid w:val="00CE2C35"/>
    <w:rsid w:val="00CE3040"/>
    <w:rsid w:val="00CE3236"/>
    <w:rsid w:val="00CE3639"/>
    <w:rsid w:val="00CE3699"/>
    <w:rsid w:val="00CE3BAD"/>
    <w:rsid w:val="00CE3FEA"/>
    <w:rsid w:val="00CE42D6"/>
    <w:rsid w:val="00CE4BC3"/>
    <w:rsid w:val="00CE4E54"/>
    <w:rsid w:val="00CE4F53"/>
    <w:rsid w:val="00CE5032"/>
    <w:rsid w:val="00CE52D1"/>
    <w:rsid w:val="00CE5AC0"/>
    <w:rsid w:val="00CE5ADA"/>
    <w:rsid w:val="00CE61A7"/>
    <w:rsid w:val="00CE6367"/>
    <w:rsid w:val="00CE7030"/>
    <w:rsid w:val="00CE713E"/>
    <w:rsid w:val="00CE79CE"/>
    <w:rsid w:val="00CF0106"/>
    <w:rsid w:val="00CF03AA"/>
    <w:rsid w:val="00CF06FA"/>
    <w:rsid w:val="00CF098A"/>
    <w:rsid w:val="00CF0B8E"/>
    <w:rsid w:val="00CF0B95"/>
    <w:rsid w:val="00CF1345"/>
    <w:rsid w:val="00CF16B9"/>
    <w:rsid w:val="00CF17C8"/>
    <w:rsid w:val="00CF17FF"/>
    <w:rsid w:val="00CF1ACC"/>
    <w:rsid w:val="00CF1D9F"/>
    <w:rsid w:val="00CF1EAE"/>
    <w:rsid w:val="00CF1F7F"/>
    <w:rsid w:val="00CF214A"/>
    <w:rsid w:val="00CF250F"/>
    <w:rsid w:val="00CF296F"/>
    <w:rsid w:val="00CF2B18"/>
    <w:rsid w:val="00CF3412"/>
    <w:rsid w:val="00CF38AE"/>
    <w:rsid w:val="00CF3B35"/>
    <w:rsid w:val="00CF3DD4"/>
    <w:rsid w:val="00CF4130"/>
    <w:rsid w:val="00CF41BD"/>
    <w:rsid w:val="00CF434A"/>
    <w:rsid w:val="00CF4465"/>
    <w:rsid w:val="00CF4623"/>
    <w:rsid w:val="00CF46DC"/>
    <w:rsid w:val="00CF48E6"/>
    <w:rsid w:val="00CF5272"/>
    <w:rsid w:val="00CF5E7F"/>
    <w:rsid w:val="00CF5EF7"/>
    <w:rsid w:val="00CF648A"/>
    <w:rsid w:val="00CF6497"/>
    <w:rsid w:val="00CF68B5"/>
    <w:rsid w:val="00CF6C72"/>
    <w:rsid w:val="00CF7358"/>
    <w:rsid w:val="00CF7C34"/>
    <w:rsid w:val="00CF7DBB"/>
    <w:rsid w:val="00CF7F6F"/>
    <w:rsid w:val="00D003EB"/>
    <w:rsid w:val="00D00538"/>
    <w:rsid w:val="00D005AE"/>
    <w:rsid w:val="00D0060D"/>
    <w:rsid w:val="00D00693"/>
    <w:rsid w:val="00D00945"/>
    <w:rsid w:val="00D012DF"/>
    <w:rsid w:val="00D014C9"/>
    <w:rsid w:val="00D0184A"/>
    <w:rsid w:val="00D01935"/>
    <w:rsid w:val="00D02033"/>
    <w:rsid w:val="00D02159"/>
    <w:rsid w:val="00D02199"/>
    <w:rsid w:val="00D021D7"/>
    <w:rsid w:val="00D022E3"/>
    <w:rsid w:val="00D02341"/>
    <w:rsid w:val="00D0255A"/>
    <w:rsid w:val="00D027FE"/>
    <w:rsid w:val="00D02A05"/>
    <w:rsid w:val="00D02B3F"/>
    <w:rsid w:val="00D03537"/>
    <w:rsid w:val="00D03818"/>
    <w:rsid w:val="00D03FBF"/>
    <w:rsid w:val="00D040AD"/>
    <w:rsid w:val="00D04897"/>
    <w:rsid w:val="00D04B60"/>
    <w:rsid w:val="00D04CD3"/>
    <w:rsid w:val="00D04F95"/>
    <w:rsid w:val="00D05060"/>
    <w:rsid w:val="00D0507C"/>
    <w:rsid w:val="00D0572E"/>
    <w:rsid w:val="00D05F3C"/>
    <w:rsid w:val="00D06018"/>
    <w:rsid w:val="00D061F1"/>
    <w:rsid w:val="00D0639D"/>
    <w:rsid w:val="00D064B5"/>
    <w:rsid w:val="00D06599"/>
    <w:rsid w:val="00D066A7"/>
    <w:rsid w:val="00D06E27"/>
    <w:rsid w:val="00D06F0A"/>
    <w:rsid w:val="00D06F18"/>
    <w:rsid w:val="00D06FA6"/>
    <w:rsid w:val="00D070A5"/>
    <w:rsid w:val="00D07545"/>
    <w:rsid w:val="00D106E2"/>
    <w:rsid w:val="00D10788"/>
    <w:rsid w:val="00D10A12"/>
    <w:rsid w:val="00D10ABC"/>
    <w:rsid w:val="00D11055"/>
    <w:rsid w:val="00D1106E"/>
    <w:rsid w:val="00D11E54"/>
    <w:rsid w:val="00D126F6"/>
    <w:rsid w:val="00D1324E"/>
    <w:rsid w:val="00D13567"/>
    <w:rsid w:val="00D13593"/>
    <w:rsid w:val="00D13683"/>
    <w:rsid w:val="00D13829"/>
    <w:rsid w:val="00D14337"/>
    <w:rsid w:val="00D14B0E"/>
    <w:rsid w:val="00D14D12"/>
    <w:rsid w:val="00D14D2F"/>
    <w:rsid w:val="00D15215"/>
    <w:rsid w:val="00D15486"/>
    <w:rsid w:val="00D15578"/>
    <w:rsid w:val="00D15913"/>
    <w:rsid w:val="00D15CFB"/>
    <w:rsid w:val="00D160BC"/>
    <w:rsid w:val="00D1688B"/>
    <w:rsid w:val="00D16907"/>
    <w:rsid w:val="00D16A0D"/>
    <w:rsid w:val="00D16BE4"/>
    <w:rsid w:val="00D17409"/>
    <w:rsid w:val="00D17466"/>
    <w:rsid w:val="00D2025A"/>
    <w:rsid w:val="00D202C0"/>
    <w:rsid w:val="00D20355"/>
    <w:rsid w:val="00D2037B"/>
    <w:rsid w:val="00D203E3"/>
    <w:rsid w:val="00D203F2"/>
    <w:rsid w:val="00D2053C"/>
    <w:rsid w:val="00D207B8"/>
    <w:rsid w:val="00D209FC"/>
    <w:rsid w:val="00D20D04"/>
    <w:rsid w:val="00D20D2B"/>
    <w:rsid w:val="00D2144D"/>
    <w:rsid w:val="00D21548"/>
    <w:rsid w:val="00D2191F"/>
    <w:rsid w:val="00D21A21"/>
    <w:rsid w:val="00D2223F"/>
    <w:rsid w:val="00D22826"/>
    <w:rsid w:val="00D228C8"/>
    <w:rsid w:val="00D228EC"/>
    <w:rsid w:val="00D22BAF"/>
    <w:rsid w:val="00D22C48"/>
    <w:rsid w:val="00D2326F"/>
    <w:rsid w:val="00D232C7"/>
    <w:rsid w:val="00D23323"/>
    <w:rsid w:val="00D234F4"/>
    <w:rsid w:val="00D23609"/>
    <w:rsid w:val="00D239AF"/>
    <w:rsid w:val="00D23C60"/>
    <w:rsid w:val="00D24073"/>
    <w:rsid w:val="00D243D4"/>
    <w:rsid w:val="00D243DC"/>
    <w:rsid w:val="00D24598"/>
    <w:rsid w:val="00D24EC0"/>
    <w:rsid w:val="00D25D5B"/>
    <w:rsid w:val="00D25F5F"/>
    <w:rsid w:val="00D260AA"/>
    <w:rsid w:val="00D26793"/>
    <w:rsid w:val="00D267D0"/>
    <w:rsid w:val="00D269CB"/>
    <w:rsid w:val="00D26A47"/>
    <w:rsid w:val="00D26A8F"/>
    <w:rsid w:val="00D27D5C"/>
    <w:rsid w:val="00D30705"/>
    <w:rsid w:val="00D307F8"/>
    <w:rsid w:val="00D3099B"/>
    <w:rsid w:val="00D30A04"/>
    <w:rsid w:val="00D30C14"/>
    <w:rsid w:val="00D30D05"/>
    <w:rsid w:val="00D30D27"/>
    <w:rsid w:val="00D31357"/>
    <w:rsid w:val="00D3186E"/>
    <w:rsid w:val="00D3196A"/>
    <w:rsid w:val="00D31F6D"/>
    <w:rsid w:val="00D31FB6"/>
    <w:rsid w:val="00D3225D"/>
    <w:rsid w:val="00D32853"/>
    <w:rsid w:val="00D32B36"/>
    <w:rsid w:val="00D32BA8"/>
    <w:rsid w:val="00D33214"/>
    <w:rsid w:val="00D33267"/>
    <w:rsid w:val="00D33817"/>
    <w:rsid w:val="00D33AD3"/>
    <w:rsid w:val="00D33D7D"/>
    <w:rsid w:val="00D33D8B"/>
    <w:rsid w:val="00D345F1"/>
    <w:rsid w:val="00D3492C"/>
    <w:rsid w:val="00D34C58"/>
    <w:rsid w:val="00D34DE5"/>
    <w:rsid w:val="00D34E71"/>
    <w:rsid w:val="00D350E5"/>
    <w:rsid w:val="00D35295"/>
    <w:rsid w:val="00D35486"/>
    <w:rsid w:val="00D35697"/>
    <w:rsid w:val="00D358BD"/>
    <w:rsid w:val="00D35CEE"/>
    <w:rsid w:val="00D361B2"/>
    <w:rsid w:val="00D3681C"/>
    <w:rsid w:val="00D36BD0"/>
    <w:rsid w:val="00D36DA3"/>
    <w:rsid w:val="00D378DF"/>
    <w:rsid w:val="00D37A3C"/>
    <w:rsid w:val="00D37B5F"/>
    <w:rsid w:val="00D37C00"/>
    <w:rsid w:val="00D400C1"/>
    <w:rsid w:val="00D40FD1"/>
    <w:rsid w:val="00D4102D"/>
    <w:rsid w:val="00D415A2"/>
    <w:rsid w:val="00D41689"/>
    <w:rsid w:val="00D41D14"/>
    <w:rsid w:val="00D422AE"/>
    <w:rsid w:val="00D42407"/>
    <w:rsid w:val="00D4292B"/>
    <w:rsid w:val="00D42ADE"/>
    <w:rsid w:val="00D42B98"/>
    <w:rsid w:val="00D42BBD"/>
    <w:rsid w:val="00D42C20"/>
    <w:rsid w:val="00D432FD"/>
    <w:rsid w:val="00D43847"/>
    <w:rsid w:val="00D43892"/>
    <w:rsid w:val="00D43A5F"/>
    <w:rsid w:val="00D43C6E"/>
    <w:rsid w:val="00D43C8F"/>
    <w:rsid w:val="00D43F49"/>
    <w:rsid w:val="00D44F66"/>
    <w:rsid w:val="00D44FCE"/>
    <w:rsid w:val="00D452EF"/>
    <w:rsid w:val="00D45393"/>
    <w:rsid w:val="00D4543C"/>
    <w:rsid w:val="00D455FD"/>
    <w:rsid w:val="00D45745"/>
    <w:rsid w:val="00D45EEE"/>
    <w:rsid w:val="00D46D2F"/>
    <w:rsid w:val="00D47201"/>
    <w:rsid w:val="00D47240"/>
    <w:rsid w:val="00D474AA"/>
    <w:rsid w:val="00D47818"/>
    <w:rsid w:val="00D47A7E"/>
    <w:rsid w:val="00D50041"/>
    <w:rsid w:val="00D50C89"/>
    <w:rsid w:val="00D510A1"/>
    <w:rsid w:val="00D511BF"/>
    <w:rsid w:val="00D51395"/>
    <w:rsid w:val="00D513CE"/>
    <w:rsid w:val="00D5152B"/>
    <w:rsid w:val="00D51683"/>
    <w:rsid w:val="00D5196A"/>
    <w:rsid w:val="00D51B35"/>
    <w:rsid w:val="00D5211E"/>
    <w:rsid w:val="00D52136"/>
    <w:rsid w:val="00D52205"/>
    <w:rsid w:val="00D522D5"/>
    <w:rsid w:val="00D52684"/>
    <w:rsid w:val="00D52BF3"/>
    <w:rsid w:val="00D52F05"/>
    <w:rsid w:val="00D5304A"/>
    <w:rsid w:val="00D532BB"/>
    <w:rsid w:val="00D5334B"/>
    <w:rsid w:val="00D535C4"/>
    <w:rsid w:val="00D5369F"/>
    <w:rsid w:val="00D53D26"/>
    <w:rsid w:val="00D53E88"/>
    <w:rsid w:val="00D53EA9"/>
    <w:rsid w:val="00D54820"/>
    <w:rsid w:val="00D54912"/>
    <w:rsid w:val="00D54CE4"/>
    <w:rsid w:val="00D54DD7"/>
    <w:rsid w:val="00D54E12"/>
    <w:rsid w:val="00D54F6C"/>
    <w:rsid w:val="00D54F73"/>
    <w:rsid w:val="00D55292"/>
    <w:rsid w:val="00D554C3"/>
    <w:rsid w:val="00D555EF"/>
    <w:rsid w:val="00D55859"/>
    <w:rsid w:val="00D5596C"/>
    <w:rsid w:val="00D55B00"/>
    <w:rsid w:val="00D55DAE"/>
    <w:rsid w:val="00D55DD7"/>
    <w:rsid w:val="00D562B1"/>
    <w:rsid w:val="00D56430"/>
    <w:rsid w:val="00D5645D"/>
    <w:rsid w:val="00D56771"/>
    <w:rsid w:val="00D56C27"/>
    <w:rsid w:val="00D56F94"/>
    <w:rsid w:val="00D5716F"/>
    <w:rsid w:val="00D5778F"/>
    <w:rsid w:val="00D604AC"/>
    <w:rsid w:val="00D604D3"/>
    <w:rsid w:val="00D60643"/>
    <w:rsid w:val="00D6082C"/>
    <w:rsid w:val="00D60A04"/>
    <w:rsid w:val="00D60AE4"/>
    <w:rsid w:val="00D60B93"/>
    <w:rsid w:val="00D60DD0"/>
    <w:rsid w:val="00D60F97"/>
    <w:rsid w:val="00D61132"/>
    <w:rsid w:val="00D61222"/>
    <w:rsid w:val="00D61908"/>
    <w:rsid w:val="00D61C74"/>
    <w:rsid w:val="00D623FB"/>
    <w:rsid w:val="00D62513"/>
    <w:rsid w:val="00D62CFB"/>
    <w:rsid w:val="00D62DDF"/>
    <w:rsid w:val="00D630BF"/>
    <w:rsid w:val="00D63380"/>
    <w:rsid w:val="00D633C9"/>
    <w:rsid w:val="00D63438"/>
    <w:rsid w:val="00D63674"/>
    <w:rsid w:val="00D63898"/>
    <w:rsid w:val="00D64201"/>
    <w:rsid w:val="00D645E1"/>
    <w:rsid w:val="00D6463B"/>
    <w:rsid w:val="00D64829"/>
    <w:rsid w:val="00D64B36"/>
    <w:rsid w:val="00D65B69"/>
    <w:rsid w:val="00D65E08"/>
    <w:rsid w:val="00D6619C"/>
    <w:rsid w:val="00D6645B"/>
    <w:rsid w:val="00D664D3"/>
    <w:rsid w:val="00D66638"/>
    <w:rsid w:val="00D66F90"/>
    <w:rsid w:val="00D67211"/>
    <w:rsid w:val="00D67394"/>
    <w:rsid w:val="00D6743D"/>
    <w:rsid w:val="00D70B09"/>
    <w:rsid w:val="00D71377"/>
    <w:rsid w:val="00D71C17"/>
    <w:rsid w:val="00D720CB"/>
    <w:rsid w:val="00D72717"/>
    <w:rsid w:val="00D72AD0"/>
    <w:rsid w:val="00D72D37"/>
    <w:rsid w:val="00D72E91"/>
    <w:rsid w:val="00D73137"/>
    <w:rsid w:val="00D735D7"/>
    <w:rsid w:val="00D73651"/>
    <w:rsid w:val="00D736AC"/>
    <w:rsid w:val="00D7393B"/>
    <w:rsid w:val="00D73993"/>
    <w:rsid w:val="00D73BF3"/>
    <w:rsid w:val="00D7466D"/>
    <w:rsid w:val="00D747BD"/>
    <w:rsid w:val="00D74AED"/>
    <w:rsid w:val="00D74BA5"/>
    <w:rsid w:val="00D74FA7"/>
    <w:rsid w:val="00D75388"/>
    <w:rsid w:val="00D75BA4"/>
    <w:rsid w:val="00D75D7C"/>
    <w:rsid w:val="00D76157"/>
    <w:rsid w:val="00D76590"/>
    <w:rsid w:val="00D774E9"/>
    <w:rsid w:val="00D77539"/>
    <w:rsid w:val="00D77776"/>
    <w:rsid w:val="00D7797B"/>
    <w:rsid w:val="00D77A93"/>
    <w:rsid w:val="00D80D4E"/>
    <w:rsid w:val="00D80D74"/>
    <w:rsid w:val="00D80F1B"/>
    <w:rsid w:val="00D8124A"/>
    <w:rsid w:val="00D81493"/>
    <w:rsid w:val="00D81716"/>
    <w:rsid w:val="00D81B7A"/>
    <w:rsid w:val="00D81D4E"/>
    <w:rsid w:val="00D81EC9"/>
    <w:rsid w:val="00D81F96"/>
    <w:rsid w:val="00D8207D"/>
    <w:rsid w:val="00D82108"/>
    <w:rsid w:val="00D82655"/>
    <w:rsid w:val="00D82D23"/>
    <w:rsid w:val="00D82F77"/>
    <w:rsid w:val="00D82FC8"/>
    <w:rsid w:val="00D83475"/>
    <w:rsid w:val="00D83938"/>
    <w:rsid w:val="00D839A2"/>
    <w:rsid w:val="00D83FAA"/>
    <w:rsid w:val="00D83FCF"/>
    <w:rsid w:val="00D8412C"/>
    <w:rsid w:val="00D84258"/>
    <w:rsid w:val="00D842D8"/>
    <w:rsid w:val="00D84310"/>
    <w:rsid w:val="00D8450F"/>
    <w:rsid w:val="00D846B6"/>
    <w:rsid w:val="00D84827"/>
    <w:rsid w:val="00D8483A"/>
    <w:rsid w:val="00D84BF9"/>
    <w:rsid w:val="00D84E86"/>
    <w:rsid w:val="00D851D9"/>
    <w:rsid w:val="00D85296"/>
    <w:rsid w:val="00D85A66"/>
    <w:rsid w:val="00D86181"/>
    <w:rsid w:val="00D86227"/>
    <w:rsid w:val="00D867A1"/>
    <w:rsid w:val="00D86959"/>
    <w:rsid w:val="00D86AB3"/>
    <w:rsid w:val="00D86E4B"/>
    <w:rsid w:val="00D87A9F"/>
    <w:rsid w:val="00D87F9E"/>
    <w:rsid w:val="00D90535"/>
    <w:rsid w:val="00D90EEF"/>
    <w:rsid w:val="00D9129C"/>
    <w:rsid w:val="00D912E5"/>
    <w:rsid w:val="00D91461"/>
    <w:rsid w:val="00D91659"/>
    <w:rsid w:val="00D91916"/>
    <w:rsid w:val="00D91E35"/>
    <w:rsid w:val="00D920D3"/>
    <w:rsid w:val="00D920FD"/>
    <w:rsid w:val="00D92362"/>
    <w:rsid w:val="00D9280F"/>
    <w:rsid w:val="00D9292F"/>
    <w:rsid w:val="00D92CE5"/>
    <w:rsid w:val="00D93703"/>
    <w:rsid w:val="00D938DF"/>
    <w:rsid w:val="00D93FEA"/>
    <w:rsid w:val="00D940B6"/>
    <w:rsid w:val="00D9439A"/>
    <w:rsid w:val="00D94859"/>
    <w:rsid w:val="00D954AC"/>
    <w:rsid w:val="00D95554"/>
    <w:rsid w:val="00D957D1"/>
    <w:rsid w:val="00D95889"/>
    <w:rsid w:val="00D95934"/>
    <w:rsid w:val="00D95D39"/>
    <w:rsid w:val="00D95FE9"/>
    <w:rsid w:val="00D960BC"/>
    <w:rsid w:val="00D960E6"/>
    <w:rsid w:val="00D964FF"/>
    <w:rsid w:val="00D96927"/>
    <w:rsid w:val="00D96B28"/>
    <w:rsid w:val="00D96C57"/>
    <w:rsid w:val="00D96F77"/>
    <w:rsid w:val="00D97A8C"/>
    <w:rsid w:val="00D97EFA"/>
    <w:rsid w:val="00DA0871"/>
    <w:rsid w:val="00DA0DAE"/>
    <w:rsid w:val="00DA1030"/>
    <w:rsid w:val="00DA12BB"/>
    <w:rsid w:val="00DA14FB"/>
    <w:rsid w:val="00DA1AAC"/>
    <w:rsid w:val="00DA1C58"/>
    <w:rsid w:val="00DA1D08"/>
    <w:rsid w:val="00DA1FD4"/>
    <w:rsid w:val="00DA2061"/>
    <w:rsid w:val="00DA2325"/>
    <w:rsid w:val="00DA2C1C"/>
    <w:rsid w:val="00DA2D7A"/>
    <w:rsid w:val="00DA3089"/>
    <w:rsid w:val="00DA31C8"/>
    <w:rsid w:val="00DA3220"/>
    <w:rsid w:val="00DA3804"/>
    <w:rsid w:val="00DA3B8F"/>
    <w:rsid w:val="00DA3E92"/>
    <w:rsid w:val="00DA3F0E"/>
    <w:rsid w:val="00DA3F42"/>
    <w:rsid w:val="00DA407C"/>
    <w:rsid w:val="00DA4535"/>
    <w:rsid w:val="00DA4EF8"/>
    <w:rsid w:val="00DA4F60"/>
    <w:rsid w:val="00DA5667"/>
    <w:rsid w:val="00DA5C22"/>
    <w:rsid w:val="00DA5D43"/>
    <w:rsid w:val="00DA627E"/>
    <w:rsid w:val="00DA63FD"/>
    <w:rsid w:val="00DA68CC"/>
    <w:rsid w:val="00DA6BC1"/>
    <w:rsid w:val="00DA7377"/>
    <w:rsid w:val="00DA7497"/>
    <w:rsid w:val="00DA767D"/>
    <w:rsid w:val="00DA76A4"/>
    <w:rsid w:val="00DA78B6"/>
    <w:rsid w:val="00DA7F3D"/>
    <w:rsid w:val="00DB0700"/>
    <w:rsid w:val="00DB0773"/>
    <w:rsid w:val="00DB0843"/>
    <w:rsid w:val="00DB085D"/>
    <w:rsid w:val="00DB0B9D"/>
    <w:rsid w:val="00DB0EC9"/>
    <w:rsid w:val="00DB147A"/>
    <w:rsid w:val="00DB1594"/>
    <w:rsid w:val="00DB16DE"/>
    <w:rsid w:val="00DB1D41"/>
    <w:rsid w:val="00DB1FA8"/>
    <w:rsid w:val="00DB268C"/>
    <w:rsid w:val="00DB292E"/>
    <w:rsid w:val="00DB2A71"/>
    <w:rsid w:val="00DB2EA1"/>
    <w:rsid w:val="00DB30A2"/>
    <w:rsid w:val="00DB313B"/>
    <w:rsid w:val="00DB31BD"/>
    <w:rsid w:val="00DB31EE"/>
    <w:rsid w:val="00DB3272"/>
    <w:rsid w:val="00DB37AD"/>
    <w:rsid w:val="00DB3BCC"/>
    <w:rsid w:val="00DB3FEC"/>
    <w:rsid w:val="00DB4264"/>
    <w:rsid w:val="00DB443F"/>
    <w:rsid w:val="00DB468A"/>
    <w:rsid w:val="00DB46E7"/>
    <w:rsid w:val="00DB4942"/>
    <w:rsid w:val="00DB49DC"/>
    <w:rsid w:val="00DB4C49"/>
    <w:rsid w:val="00DB4E6F"/>
    <w:rsid w:val="00DB56E9"/>
    <w:rsid w:val="00DB5EE6"/>
    <w:rsid w:val="00DB6102"/>
    <w:rsid w:val="00DB619A"/>
    <w:rsid w:val="00DB678C"/>
    <w:rsid w:val="00DB69B4"/>
    <w:rsid w:val="00DB6AE8"/>
    <w:rsid w:val="00DB6D15"/>
    <w:rsid w:val="00DB6E89"/>
    <w:rsid w:val="00DB6EAC"/>
    <w:rsid w:val="00DB70C2"/>
    <w:rsid w:val="00DB740F"/>
    <w:rsid w:val="00DB7901"/>
    <w:rsid w:val="00DB7A8F"/>
    <w:rsid w:val="00DB7BCC"/>
    <w:rsid w:val="00DB7D09"/>
    <w:rsid w:val="00DC00A1"/>
    <w:rsid w:val="00DC06EA"/>
    <w:rsid w:val="00DC0925"/>
    <w:rsid w:val="00DC0AFB"/>
    <w:rsid w:val="00DC0B72"/>
    <w:rsid w:val="00DC0C76"/>
    <w:rsid w:val="00DC0CA5"/>
    <w:rsid w:val="00DC1409"/>
    <w:rsid w:val="00DC14CB"/>
    <w:rsid w:val="00DC1A58"/>
    <w:rsid w:val="00DC1BDA"/>
    <w:rsid w:val="00DC1D58"/>
    <w:rsid w:val="00DC2294"/>
    <w:rsid w:val="00DC26AA"/>
    <w:rsid w:val="00DC26D5"/>
    <w:rsid w:val="00DC2722"/>
    <w:rsid w:val="00DC2950"/>
    <w:rsid w:val="00DC2C3A"/>
    <w:rsid w:val="00DC31A1"/>
    <w:rsid w:val="00DC4165"/>
    <w:rsid w:val="00DC4497"/>
    <w:rsid w:val="00DC4619"/>
    <w:rsid w:val="00DC472A"/>
    <w:rsid w:val="00DC4794"/>
    <w:rsid w:val="00DC47BC"/>
    <w:rsid w:val="00DC4BD3"/>
    <w:rsid w:val="00DC4D3B"/>
    <w:rsid w:val="00DC5067"/>
    <w:rsid w:val="00DC5164"/>
    <w:rsid w:val="00DC5287"/>
    <w:rsid w:val="00DC5459"/>
    <w:rsid w:val="00DC59BE"/>
    <w:rsid w:val="00DC6547"/>
    <w:rsid w:val="00DC665C"/>
    <w:rsid w:val="00DC6B0C"/>
    <w:rsid w:val="00DC6E08"/>
    <w:rsid w:val="00DC6F28"/>
    <w:rsid w:val="00DC6F5F"/>
    <w:rsid w:val="00DC72C0"/>
    <w:rsid w:val="00DC73BD"/>
    <w:rsid w:val="00DC740A"/>
    <w:rsid w:val="00DC749B"/>
    <w:rsid w:val="00DC75FC"/>
    <w:rsid w:val="00DC7C23"/>
    <w:rsid w:val="00DC7D9F"/>
    <w:rsid w:val="00DC7EC2"/>
    <w:rsid w:val="00DC7FD5"/>
    <w:rsid w:val="00DC7FFE"/>
    <w:rsid w:val="00DD02FE"/>
    <w:rsid w:val="00DD0991"/>
    <w:rsid w:val="00DD0DC0"/>
    <w:rsid w:val="00DD0E47"/>
    <w:rsid w:val="00DD0F8A"/>
    <w:rsid w:val="00DD100D"/>
    <w:rsid w:val="00DD1022"/>
    <w:rsid w:val="00DD1444"/>
    <w:rsid w:val="00DD1A9C"/>
    <w:rsid w:val="00DD212C"/>
    <w:rsid w:val="00DD27D0"/>
    <w:rsid w:val="00DD2B70"/>
    <w:rsid w:val="00DD2CBC"/>
    <w:rsid w:val="00DD2E4E"/>
    <w:rsid w:val="00DD2E5A"/>
    <w:rsid w:val="00DD2F7C"/>
    <w:rsid w:val="00DD3813"/>
    <w:rsid w:val="00DD39CD"/>
    <w:rsid w:val="00DD3C9F"/>
    <w:rsid w:val="00DD3CF8"/>
    <w:rsid w:val="00DD4342"/>
    <w:rsid w:val="00DD469E"/>
    <w:rsid w:val="00DD484D"/>
    <w:rsid w:val="00DD4BAA"/>
    <w:rsid w:val="00DD4C35"/>
    <w:rsid w:val="00DD518F"/>
    <w:rsid w:val="00DD532E"/>
    <w:rsid w:val="00DD536F"/>
    <w:rsid w:val="00DD546D"/>
    <w:rsid w:val="00DD5D07"/>
    <w:rsid w:val="00DD5E72"/>
    <w:rsid w:val="00DD6BB0"/>
    <w:rsid w:val="00DD71EF"/>
    <w:rsid w:val="00DD741D"/>
    <w:rsid w:val="00DD75F3"/>
    <w:rsid w:val="00DD77AF"/>
    <w:rsid w:val="00DD794D"/>
    <w:rsid w:val="00DD7A61"/>
    <w:rsid w:val="00DD7AB6"/>
    <w:rsid w:val="00DD7C43"/>
    <w:rsid w:val="00DD7CAC"/>
    <w:rsid w:val="00DD7E0C"/>
    <w:rsid w:val="00DD7EC4"/>
    <w:rsid w:val="00DE0BA4"/>
    <w:rsid w:val="00DE0F5D"/>
    <w:rsid w:val="00DE16DE"/>
    <w:rsid w:val="00DE2455"/>
    <w:rsid w:val="00DE2ACF"/>
    <w:rsid w:val="00DE2B48"/>
    <w:rsid w:val="00DE3175"/>
    <w:rsid w:val="00DE368A"/>
    <w:rsid w:val="00DE3754"/>
    <w:rsid w:val="00DE37C1"/>
    <w:rsid w:val="00DE38FA"/>
    <w:rsid w:val="00DE399E"/>
    <w:rsid w:val="00DE3DCA"/>
    <w:rsid w:val="00DE3FE9"/>
    <w:rsid w:val="00DE41C3"/>
    <w:rsid w:val="00DE491D"/>
    <w:rsid w:val="00DE521C"/>
    <w:rsid w:val="00DE5A64"/>
    <w:rsid w:val="00DE5A82"/>
    <w:rsid w:val="00DE5C8F"/>
    <w:rsid w:val="00DE6008"/>
    <w:rsid w:val="00DE6029"/>
    <w:rsid w:val="00DE61B4"/>
    <w:rsid w:val="00DE630D"/>
    <w:rsid w:val="00DE634A"/>
    <w:rsid w:val="00DE6370"/>
    <w:rsid w:val="00DE6434"/>
    <w:rsid w:val="00DE664B"/>
    <w:rsid w:val="00DE673F"/>
    <w:rsid w:val="00DE699F"/>
    <w:rsid w:val="00DE6FC6"/>
    <w:rsid w:val="00DE7AEB"/>
    <w:rsid w:val="00DE7EAE"/>
    <w:rsid w:val="00DF0344"/>
    <w:rsid w:val="00DF08B5"/>
    <w:rsid w:val="00DF0A46"/>
    <w:rsid w:val="00DF0D1E"/>
    <w:rsid w:val="00DF128F"/>
    <w:rsid w:val="00DF16C7"/>
    <w:rsid w:val="00DF1A7D"/>
    <w:rsid w:val="00DF1BC7"/>
    <w:rsid w:val="00DF2083"/>
    <w:rsid w:val="00DF21D9"/>
    <w:rsid w:val="00DF238C"/>
    <w:rsid w:val="00DF276B"/>
    <w:rsid w:val="00DF2B34"/>
    <w:rsid w:val="00DF2EC4"/>
    <w:rsid w:val="00DF31D6"/>
    <w:rsid w:val="00DF31DC"/>
    <w:rsid w:val="00DF334F"/>
    <w:rsid w:val="00DF3BD1"/>
    <w:rsid w:val="00DF3E69"/>
    <w:rsid w:val="00DF4262"/>
    <w:rsid w:val="00DF4284"/>
    <w:rsid w:val="00DF44A6"/>
    <w:rsid w:val="00DF46DF"/>
    <w:rsid w:val="00DF48E6"/>
    <w:rsid w:val="00DF48E8"/>
    <w:rsid w:val="00DF530A"/>
    <w:rsid w:val="00DF5622"/>
    <w:rsid w:val="00DF5B7F"/>
    <w:rsid w:val="00DF6577"/>
    <w:rsid w:val="00DF65E3"/>
    <w:rsid w:val="00DF65ED"/>
    <w:rsid w:val="00DF6756"/>
    <w:rsid w:val="00DF698D"/>
    <w:rsid w:val="00DF6AA5"/>
    <w:rsid w:val="00DF7465"/>
    <w:rsid w:val="00DF7484"/>
    <w:rsid w:val="00DF7BF2"/>
    <w:rsid w:val="00DF7C0D"/>
    <w:rsid w:val="00E0003A"/>
    <w:rsid w:val="00E002B1"/>
    <w:rsid w:val="00E009EF"/>
    <w:rsid w:val="00E00A71"/>
    <w:rsid w:val="00E00DB7"/>
    <w:rsid w:val="00E00DF7"/>
    <w:rsid w:val="00E00F44"/>
    <w:rsid w:val="00E00F78"/>
    <w:rsid w:val="00E01092"/>
    <w:rsid w:val="00E0170A"/>
    <w:rsid w:val="00E01785"/>
    <w:rsid w:val="00E019E2"/>
    <w:rsid w:val="00E01A71"/>
    <w:rsid w:val="00E01F04"/>
    <w:rsid w:val="00E02175"/>
    <w:rsid w:val="00E027FE"/>
    <w:rsid w:val="00E02833"/>
    <w:rsid w:val="00E02BC5"/>
    <w:rsid w:val="00E03104"/>
    <w:rsid w:val="00E03358"/>
    <w:rsid w:val="00E036AF"/>
    <w:rsid w:val="00E03DC9"/>
    <w:rsid w:val="00E03EA2"/>
    <w:rsid w:val="00E040D3"/>
    <w:rsid w:val="00E041B2"/>
    <w:rsid w:val="00E04458"/>
    <w:rsid w:val="00E046DF"/>
    <w:rsid w:val="00E04956"/>
    <w:rsid w:val="00E04C6E"/>
    <w:rsid w:val="00E04EE2"/>
    <w:rsid w:val="00E052E8"/>
    <w:rsid w:val="00E053C4"/>
    <w:rsid w:val="00E0565C"/>
    <w:rsid w:val="00E05885"/>
    <w:rsid w:val="00E0591D"/>
    <w:rsid w:val="00E05B29"/>
    <w:rsid w:val="00E05B87"/>
    <w:rsid w:val="00E06304"/>
    <w:rsid w:val="00E066AC"/>
    <w:rsid w:val="00E069AC"/>
    <w:rsid w:val="00E06DEC"/>
    <w:rsid w:val="00E07094"/>
    <w:rsid w:val="00E07AE7"/>
    <w:rsid w:val="00E07B68"/>
    <w:rsid w:val="00E07BBB"/>
    <w:rsid w:val="00E07D0C"/>
    <w:rsid w:val="00E10379"/>
    <w:rsid w:val="00E104B9"/>
    <w:rsid w:val="00E10A47"/>
    <w:rsid w:val="00E10F7C"/>
    <w:rsid w:val="00E1110B"/>
    <w:rsid w:val="00E115B9"/>
    <w:rsid w:val="00E11FCD"/>
    <w:rsid w:val="00E12178"/>
    <w:rsid w:val="00E1234A"/>
    <w:rsid w:val="00E12810"/>
    <w:rsid w:val="00E12BAC"/>
    <w:rsid w:val="00E12C0D"/>
    <w:rsid w:val="00E12F89"/>
    <w:rsid w:val="00E13213"/>
    <w:rsid w:val="00E1406D"/>
    <w:rsid w:val="00E140BC"/>
    <w:rsid w:val="00E142D0"/>
    <w:rsid w:val="00E1451F"/>
    <w:rsid w:val="00E14A51"/>
    <w:rsid w:val="00E14BC6"/>
    <w:rsid w:val="00E1513B"/>
    <w:rsid w:val="00E152AF"/>
    <w:rsid w:val="00E1535C"/>
    <w:rsid w:val="00E15421"/>
    <w:rsid w:val="00E15804"/>
    <w:rsid w:val="00E15C39"/>
    <w:rsid w:val="00E168D3"/>
    <w:rsid w:val="00E16EEF"/>
    <w:rsid w:val="00E1705D"/>
    <w:rsid w:val="00E170AC"/>
    <w:rsid w:val="00E1743C"/>
    <w:rsid w:val="00E17823"/>
    <w:rsid w:val="00E17998"/>
    <w:rsid w:val="00E17AD3"/>
    <w:rsid w:val="00E17B6B"/>
    <w:rsid w:val="00E20037"/>
    <w:rsid w:val="00E20129"/>
    <w:rsid w:val="00E202EB"/>
    <w:rsid w:val="00E202EF"/>
    <w:rsid w:val="00E20396"/>
    <w:rsid w:val="00E211AE"/>
    <w:rsid w:val="00E21213"/>
    <w:rsid w:val="00E21300"/>
    <w:rsid w:val="00E21369"/>
    <w:rsid w:val="00E21E70"/>
    <w:rsid w:val="00E22067"/>
    <w:rsid w:val="00E22763"/>
    <w:rsid w:val="00E22789"/>
    <w:rsid w:val="00E22CB0"/>
    <w:rsid w:val="00E23564"/>
    <w:rsid w:val="00E2376F"/>
    <w:rsid w:val="00E237EC"/>
    <w:rsid w:val="00E23946"/>
    <w:rsid w:val="00E244AD"/>
    <w:rsid w:val="00E24509"/>
    <w:rsid w:val="00E24901"/>
    <w:rsid w:val="00E24FB7"/>
    <w:rsid w:val="00E25185"/>
    <w:rsid w:val="00E2562B"/>
    <w:rsid w:val="00E25B86"/>
    <w:rsid w:val="00E25D3F"/>
    <w:rsid w:val="00E25F60"/>
    <w:rsid w:val="00E26013"/>
    <w:rsid w:val="00E26156"/>
    <w:rsid w:val="00E26161"/>
    <w:rsid w:val="00E2632A"/>
    <w:rsid w:val="00E26643"/>
    <w:rsid w:val="00E2691D"/>
    <w:rsid w:val="00E26A43"/>
    <w:rsid w:val="00E26F53"/>
    <w:rsid w:val="00E2706D"/>
    <w:rsid w:val="00E27080"/>
    <w:rsid w:val="00E2718B"/>
    <w:rsid w:val="00E27CD9"/>
    <w:rsid w:val="00E3022F"/>
    <w:rsid w:val="00E3030A"/>
    <w:rsid w:val="00E30349"/>
    <w:rsid w:val="00E3042E"/>
    <w:rsid w:val="00E30821"/>
    <w:rsid w:val="00E3082B"/>
    <w:rsid w:val="00E30EC3"/>
    <w:rsid w:val="00E310D6"/>
    <w:rsid w:val="00E3112D"/>
    <w:rsid w:val="00E32804"/>
    <w:rsid w:val="00E33780"/>
    <w:rsid w:val="00E337B5"/>
    <w:rsid w:val="00E337DE"/>
    <w:rsid w:val="00E3419B"/>
    <w:rsid w:val="00E3442B"/>
    <w:rsid w:val="00E34511"/>
    <w:rsid w:val="00E35295"/>
    <w:rsid w:val="00E35337"/>
    <w:rsid w:val="00E3554F"/>
    <w:rsid w:val="00E358E8"/>
    <w:rsid w:val="00E36152"/>
    <w:rsid w:val="00E3639B"/>
    <w:rsid w:val="00E37013"/>
    <w:rsid w:val="00E37915"/>
    <w:rsid w:val="00E37B6A"/>
    <w:rsid w:val="00E4110F"/>
    <w:rsid w:val="00E4205F"/>
    <w:rsid w:val="00E427CE"/>
    <w:rsid w:val="00E42933"/>
    <w:rsid w:val="00E42981"/>
    <w:rsid w:val="00E42ABF"/>
    <w:rsid w:val="00E42E33"/>
    <w:rsid w:val="00E431C1"/>
    <w:rsid w:val="00E434E0"/>
    <w:rsid w:val="00E43AB7"/>
    <w:rsid w:val="00E43B8E"/>
    <w:rsid w:val="00E443E4"/>
    <w:rsid w:val="00E446F3"/>
    <w:rsid w:val="00E44AFE"/>
    <w:rsid w:val="00E44DE5"/>
    <w:rsid w:val="00E456B8"/>
    <w:rsid w:val="00E45BCF"/>
    <w:rsid w:val="00E45BFE"/>
    <w:rsid w:val="00E45DAD"/>
    <w:rsid w:val="00E466E1"/>
    <w:rsid w:val="00E466F2"/>
    <w:rsid w:val="00E4737D"/>
    <w:rsid w:val="00E47FEE"/>
    <w:rsid w:val="00E50727"/>
    <w:rsid w:val="00E5094D"/>
    <w:rsid w:val="00E509DE"/>
    <w:rsid w:val="00E50C35"/>
    <w:rsid w:val="00E50F8E"/>
    <w:rsid w:val="00E51207"/>
    <w:rsid w:val="00E51292"/>
    <w:rsid w:val="00E51E48"/>
    <w:rsid w:val="00E520D6"/>
    <w:rsid w:val="00E5214F"/>
    <w:rsid w:val="00E52223"/>
    <w:rsid w:val="00E52E1E"/>
    <w:rsid w:val="00E52F9E"/>
    <w:rsid w:val="00E53131"/>
    <w:rsid w:val="00E534ED"/>
    <w:rsid w:val="00E53976"/>
    <w:rsid w:val="00E5446A"/>
    <w:rsid w:val="00E5472F"/>
    <w:rsid w:val="00E54B45"/>
    <w:rsid w:val="00E54CD6"/>
    <w:rsid w:val="00E54DFD"/>
    <w:rsid w:val="00E54F27"/>
    <w:rsid w:val="00E54F40"/>
    <w:rsid w:val="00E5507B"/>
    <w:rsid w:val="00E557EF"/>
    <w:rsid w:val="00E55A53"/>
    <w:rsid w:val="00E55F74"/>
    <w:rsid w:val="00E5629B"/>
    <w:rsid w:val="00E562D3"/>
    <w:rsid w:val="00E56844"/>
    <w:rsid w:val="00E56910"/>
    <w:rsid w:val="00E56958"/>
    <w:rsid w:val="00E569B8"/>
    <w:rsid w:val="00E56AB9"/>
    <w:rsid w:val="00E57877"/>
    <w:rsid w:val="00E578C5"/>
    <w:rsid w:val="00E57BBF"/>
    <w:rsid w:val="00E57F6B"/>
    <w:rsid w:val="00E600C2"/>
    <w:rsid w:val="00E60AEE"/>
    <w:rsid w:val="00E60C3B"/>
    <w:rsid w:val="00E6131C"/>
    <w:rsid w:val="00E6158A"/>
    <w:rsid w:val="00E6181F"/>
    <w:rsid w:val="00E62BE7"/>
    <w:rsid w:val="00E62EB1"/>
    <w:rsid w:val="00E6344B"/>
    <w:rsid w:val="00E63D5A"/>
    <w:rsid w:val="00E63D76"/>
    <w:rsid w:val="00E645F3"/>
    <w:rsid w:val="00E64879"/>
    <w:rsid w:val="00E649DE"/>
    <w:rsid w:val="00E64A68"/>
    <w:rsid w:val="00E64F35"/>
    <w:rsid w:val="00E65362"/>
    <w:rsid w:val="00E659CF"/>
    <w:rsid w:val="00E65C00"/>
    <w:rsid w:val="00E65C55"/>
    <w:rsid w:val="00E65CDF"/>
    <w:rsid w:val="00E65DB8"/>
    <w:rsid w:val="00E66A41"/>
    <w:rsid w:val="00E66C2E"/>
    <w:rsid w:val="00E66CD3"/>
    <w:rsid w:val="00E66D99"/>
    <w:rsid w:val="00E66EDE"/>
    <w:rsid w:val="00E67408"/>
    <w:rsid w:val="00E67A0C"/>
    <w:rsid w:val="00E67F69"/>
    <w:rsid w:val="00E700DD"/>
    <w:rsid w:val="00E70112"/>
    <w:rsid w:val="00E70960"/>
    <w:rsid w:val="00E70A06"/>
    <w:rsid w:val="00E70A0B"/>
    <w:rsid w:val="00E712E4"/>
    <w:rsid w:val="00E71452"/>
    <w:rsid w:val="00E71A2B"/>
    <w:rsid w:val="00E71AA6"/>
    <w:rsid w:val="00E71C32"/>
    <w:rsid w:val="00E71C73"/>
    <w:rsid w:val="00E71CC1"/>
    <w:rsid w:val="00E71D49"/>
    <w:rsid w:val="00E72160"/>
    <w:rsid w:val="00E72169"/>
    <w:rsid w:val="00E72265"/>
    <w:rsid w:val="00E7256F"/>
    <w:rsid w:val="00E726C8"/>
    <w:rsid w:val="00E72772"/>
    <w:rsid w:val="00E72DDE"/>
    <w:rsid w:val="00E7304E"/>
    <w:rsid w:val="00E73652"/>
    <w:rsid w:val="00E73C5E"/>
    <w:rsid w:val="00E73D72"/>
    <w:rsid w:val="00E7472D"/>
    <w:rsid w:val="00E751CD"/>
    <w:rsid w:val="00E7586A"/>
    <w:rsid w:val="00E7626F"/>
    <w:rsid w:val="00E763FB"/>
    <w:rsid w:val="00E76425"/>
    <w:rsid w:val="00E764D0"/>
    <w:rsid w:val="00E7664C"/>
    <w:rsid w:val="00E7668E"/>
    <w:rsid w:val="00E7698E"/>
    <w:rsid w:val="00E76A31"/>
    <w:rsid w:val="00E76C3D"/>
    <w:rsid w:val="00E76E3A"/>
    <w:rsid w:val="00E76F74"/>
    <w:rsid w:val="00E77588"/>
    <w:rsid w:val="00E7769D"/>
    <w:rsid w:val="00E77D1F"/>
    <w:rsid w:val="00E77E5E"/>
    <w:rsid w:val="00E80279"/>
    <w:rsid w:val="00E80B93"/>
    <w:rsid w:val="00E80D9A"/>
    <w:rsid w:val="00E80E26"/>
    <w:rsid w:val="00E814C5"/>
    <w:rsid w:val="00E815B6"/>
    <w:rsid w:val="00E815EB"/>
    <w:rsid w:val="00E8192E"/>
    <w:rsid w:val="00E81A41"/>
    <w:rsid w:val="00E81C6A"/>
    <w:rsid w:val="00E8227A"/>
    <w:rsid w:val="00E82858"/>
    <w:rsid w:val="00E834CA"/>
    <w:rsid w:val="00E839D8"/>
    <w:rsid w:val="00E83B8F"/>
    <w:rsid w:val="00E83C98"/>
    <w:rsid w:val="00E8499B"/>
    <w:rsid w:val="00E84A3E"/>
    <w:rsid w:val="00E84D0D"/>
    <w:rsid w:val="00E85211"/>
    <w:rsid w:val="00E85260"/>
    <w:rsid w:val="00E856F3"/>
    <w:rsid w:val="00E858D8"/>
    <w:rsid w:val="00E85E40"/>
    <w:rsid w:val="00E862EE"/>
    <w:rsid w:val="00E8635C"/>
    <w:rsid w:val="00E866B9"/>
    <w:rsid w:val="00E868AD"/>
    <w:rsid w:val="00E86CF6"/>
    <w:rsid w:val="00E874CB"/>
    <w:rsid w:val="00E87789"/>
    <w:rsid w:val="00E87DBE"/>
    <w:rsid w:val="00E87DC6"/>
    <w:rsid w:val="00E90318"/>
    <w:rsid w:val="00E908AE"/>
    <w:rsid w:val="00E909BF"/>
    <w:rsid w:val="00E90A33"/>
    <w:rsid w:val="00E90BB1"/>
    <w:rsid w:val="00E90F7C"/>
    <w:rsid w:val="00E912D8"/>
    <w:rsid w:val="00E914C9"/>
    <w:rsid w:val="00E9195C"/>
    <w:rsid w:val="00E919FA"/>
    <w:rsid w:val="00E91FF7"/>
    <w:rsid w:val="00E92A43"/>
    <w:rsid w:val="00E92DA8"/>
    <w:rsid w:val="00E92DDB"/>
    <w:rsid w:val="00E93277"/>
    <w:rsid w:val="00E93473"/>
    <w:rsid w:val="00E946DC"/>
    <w:rsid w:val="00E94817"/>
    <w:rsid w:val="00E9487D"/>
    <w:rsid w:val="00E951BE"/>
    <w:rsid w:val="00E9536F"/>
    <w:rsid w:val="00E95452"/>
    <w:rsid w:val="00E955A6"/>
    <w:rsid w:val="00E959AF"/>
    <w:rsid w:val="00E95E36"/>
    <w:rsid w:val="00E96363"/>
    <w:rsid w:val="00E9643C"/>
    <w:rsid w:val="00E96471"/>
    <w:rsid w:val="00E9673B"/>
    <w:rsid w:val="00E96794"/>
    <w:rsid w:val="00E968E6"/>
    <w:rsid w:val="00E96937"/>
    <w:rsid w:val="00E96982"/>
    <w:rsid w:val="00E96E5C"/>
    <w:rsid w:val="00E96E7C"/>
    <w:rsid w:val="00E9731F"/>
    <w:rsid w:val="00E97482"/>
    <w:rsid w:val="00E97A38"/>
    <w:rsid w:val="00E97C4D"/>
    <w:rsid w:val="00EA0389"/>
    <w:rsid w:val="00EA0B88"/>
    <w:rsid w:val="00EA0D3C"/>
    <w:rsid w:val="00EA0F72"/>
    <w:rsid w:val="00EA167E"/>
    <w:rsid w:val="00EA198B"/>
    <w:rsid w:val="00EA19D0"/>
    <w:rsid w:val="00EA1F74"/>
    <w:rsid w:val="00EA217C"/>
    <w:rsid w:val="00EA2354"/>
    <w:rsid w:val="00EA28ED"/>
    <w:rsid w:val="00EA2EA8"/>
    <w:rsid w:val="00EA308C"/>
    <w:rsid w:val="00EA353F"/>
    <w:rsid w:val="00EA36E1"/>
    <w:rsid w:val="00EA3867"/>
    <w:rsid w:val="00EA3A4F"/>
    <w:rsid w:val="00EA3B2A"/>
    <w:rsid w:val="00EA3B44"/>
    <w:rsid w:val="00EA3B47"/>
    <w:rsid w:val="00EA3F30"/>
    <w:rsid w:val="00EA4852"/>
    <w:rsid w:val="00EA4959"/>
    <w:rsid w:val="00EA4ED6"/>
    <w:rsid w:val="00EA512A"/>
    <w:rsid w:val="00EA5315"/>
    <w:rsid w:val="00EA539C"/>
    <w:rsid w:val="00EA5709"/>
    <w:rsid w:val="00EA5782"/>
    <w:rsid w:val="00EA584C"/>
    <w:rsid w:val="00EA5B8A"/>
    <w:rsid w:val="00EA65BD"/>
    <w:rsid w:val="00EA67D0"/>
    <w:rsid w:val="00EA754A"/>
    <w:rsid w:val="00EA763A"/>
    <w:rsid w:val="00EA7F53"/>
    <w:rsid w:val="00EB01FD"/>
    <w:rsid w:val="00EB04B3"/>
    <w:rsid w:val="00EB056D"/>
    <w:rsid w:val="00EB0705"/>
    <w:rsid w:val="00EB0709"/>
    <w:rsid w:val="00EB09F0"/>
    <w:rsid w:val="00EB11C4"/>
    <w:rsid w:val="00EB1536"/>
    <w:rsid w:val="00EB153B"/>
    <w:rsid w:val="00EB1610"/>
    <w:rsid w:val="00EB1BE6"/>
    <w:rsid w:val="00EB1C40"/>
    <w:rsid w:val="00EB1CFC"/>
    <w:rsid w:val="00EB1D24"/>
    <w:rsid w:val="00EB246D"/>
    <w:rsid w:val="00EB24A6"/>
    <w:rsid w:val="00EB25CF"/>
    <w:rsid w:val="00EB25E4"/>
    <w:rsid w:val="00EB2D41"/>
    <w:rsid w:val="00EB33B3"/>
    <w:rsid w:val="00EB33B6"/>
    <w:rsid w:val="00EB382D"/>
    <w:rsid w:val="00EB3933"/>
    <w:rsid w:val="00EB3DA6"/>
    <w:rsid w:val="00EB3DA9"/>
    <w:rsid w:val="00EB411A"/>
    <w:rsid w:val="00EB4384"/>
    <w:rsid w:val="00EB45BE"/>
    <w:rsid w:val="00EB4D6A"/>
    <w:rsid w:val="00EB4DCB"/>
    <w:rsid w:val="00EB5020"/>
    <w:rsid w:val="00EB50ED"/>
    <w:rsid w:val="00EB5350"/>
    <w:rsid w:val="00EB5FD8"/>
    <w:rsid w:val="00EB5FEA"/>
    <w:rsid w:val="00EB6043"/>
    <w:rsid w:val="00EB64DF"/>
    <w:rsid w:val="00EB6C6E"/>
    <w:rsid w:val="00EB7565"/>
    <w:rsid w:val="00EB75C4"/>
    <w:rsid w:val="00EB761E"/>
    <w:rsid w:val="00EB7795"/>
    <w:rsid w:val="00EB782D"/>
    <w:rsid w:val="00EB7947"/>
    <w:rsid w:val="00EB79B2"/>
    <w:rsid w:val="00EB7A08"/>
    <w:rsid w:val="00EB7B36"/>
    <w:rsid w:val="00EB7BA5"/>
    <w:rsid w:val="00EB7C3F"/>
    <w:rsid w:val="00EB7F76"/>
    <w:rsid w:val="00EC009A"/>
    <w:rsid w:val="00EC0115"/>
    <w:rsid w:val="00EC0477"/>
    <w:rsid w:val="00EC1559"/>
    <w:rsid w:val="00EC170F"/>
    <w:rsid w:val="00EC1BCA"/>
    <w:rsid w:val="00EC1E3A"/>
    <w:rsid w:val="00EC2B6F"/>
    <w:rsid w:val="00EC2CBE"/>
    <w:rsid w:val="00EC2EF1"/>
    <w:rsid w:val="00EC3108"/>
    <w:rsid w:val="00EC39CF"/>
    <w:rsid w:val="00EC428F"/>
    <w:rsid w:val="00EC43E6"/>
    <w:rsid w:val="00EC4665"/>
    <w:rsid w:val="00EC496E"/>
    <w:rsid w:val="00EC49A5"/>
    <w:rsid w:val="00EC4D34"/>
    <w:rsid w:val="00EC4E8B"/>
    <w:rsid w:val="00EC5397"/>
    <w:rsid w:val="00EC5975"/>
    <w:rsid w:val="00EC5B25"/>
    <w:rsid w:val="00EC5D4A"/>
    <w:rsid w:val="00EC5F8C"/>
    <w:rsid w:val="00EC60A3"/>
    <w:rsid w:val="00EC6315"/>
    <w:rsid w:val="00EC6690"/>
    <w:rsid w:val="00EC678B"/>
    <w:rsid w:val="00EC67EE"/>
    <w:rsid w:val="00EC68D6"/>
    <w:rsid w:val="00EC713E"/>
    <w:rsid w:val="00EC76C2"/>
    <w:rsid w:val="00EC7DCF"/>
    <w:rsid w:val="00ED0114"/>
    <w:rsid w:val="00ED05D4"/>
    <w:rsid w:val="00ED0B92"/>
    <w:rsid w:val="00ED0CC2"/>
    <w:rsid w:val="00ED0EDC"/>
    <w:rsid w:val="00ED11FC"/>
    <w:rsid w:val="00ED1810"/>
    <w:rsid w:val="00ED19C3"/>
    <w:rsid w:val="00ED1EE2"/>
    <w:rsid w:val="00ED2240"/>
    <w:rsid w:val="00ED2302"/>
    <w:rsid w:val="00ED23C7"/>
    <w:rsid w:val="00ED2DE1"/>
    <w:rsid w:val="00ED3053"/>
    <w:rsid w:val="00ED314F"/>
    <w:rsid w:val="00ED34AA"/>
    <w:rsid w:val="00ED4036"/>
    <w:rsid w:val="00ED5072"/>
    <w:rsid w:val="00ED50D9"/>
    <w:rsid w:val="00ED52D3"/>
    <w:rsid w:val="00ED55C0"/>
    <w:rsid w:val="00ED56AC"/>
    <w:rsid w:val="00ED5B6C"/>
    <w:rsid w:val="00ED5BCC"/>
    <w:rsid w:val="00ED5FA0"/>
    <w:rsid w:val="00ED6164"/>
    <w:rsid w:val="00ED6657"/>
    <w:rsid w:val="00ED6BA7"/>
    <w:rsid w:val="00ED6F03"/>
    <w:rsid w:val="00ED7841"/>
    <w:rsid w:val="00ED7929"/>
    <w:rsid w:val="00ED794E"/>
    <w:rsid w:val="00ED7BB4"/>
    <w:rsid w:val="00EE0200"/>
    <w:rsid w:val="00EE045D"/>
    <w:rsid w:val="00EE0748"/>
    <w:rsid w:val="00EE0D5E"/>
    <w:rsid w:val="00EE0E75"/>
    <w:rsid w:val="00EE15EA"/>
    <w:rsid w:val="00EE1E79"/>
    <w:rsid w:val="00EE1EAA"/>
    <w:rsid w:val="00EE2028"/>
    <w:rsid w:val="00EE2524"/>
    <w:rsid w:val="00EE2640"/>
    <w:rsid w:val="00EE2ECC"/>
    <w:rsid w:val="00EE3014"/>
    <w:rsid w:val="00EE32A6"/>
    <w:rsid w:val="00EE33E3"/>
    <w:rsid w:val="00EE3803"/>
    <w:rsid w:val="00EE3DF9"/>
    <w:rsid w:val="00EE403F"/>
    <w:rsid w:val="00EE41CD"/>
    <w:rsid w:val="00EE435F"/>
    <w:rsid w:val="00EE43E7"/>
    <w:rsid w:val="00EE48EF"/>
    <w:rsid w:val="00EE4A7E"/>
    <w:rsid w:val="00EE4B6C"/>
    <w:rsid w:val="00EE4E48"/>
    <w:rsid w:val="00EE52F9"/>
    <w:rsid w:val="00EE5302"/>
    <w:rsid w:val="00EE57C4"/>
    <w:rsid w:val="00EE6893"/>
    <w:rsid w:val="00EE7860"/>
    <w:rsid w:val="00EE7A40"/>
    <w:rsid w:val="00EE7FFA"/>
    <w:rsid w:val="00EF0A40"/>
    <w:rsid w:val="00EF109E"/>
    <w:rsid w:val="00EF134F"/>
    <w:rsid w:val="00EF1484"/>
    <w:rsid w:val="00EF2180"/>
    <w:rsid w:val="00EF21DF"/>
    <w:rsid w:val="00EF26EF"/>
    <w:rsid w:val="00EF3319"/>
    <w:rsid w:val="00EF388F"/>
    <w:rsid w:val="00EF3A4E"/>
    <w:rsid w:val="00EF439B"/>
    <w:rsid w:val="00EF446A"/>
    <w:rsid w:val="00EF4D3E"/>
    <w:rsid w:val="00EF5746"/>
    <w:rsid w:val="00EF57D1"/>
    <w:rsid w:val="00EF599F"/>
    <w:rsid w:val="00EF5B32"/>
    <w:rsid w:val="00EF5E32"/>
    <w:rsid w:val="00EF60A7"/>
    <w:rsid w:val="00EF60EC"/>
    <w:rsid w:val="00EF61A3"/>
    <w:rsid w:val="00EF648E"/>
    <w:rsid w:val="00EF690D"/>
    <w:rsid w:val="00EF7177"/>
    <w:rsid w:val="00EF73D6"/>
    <w:rsid w:val="00EF759B"/>
    <w:rsid w:val="00EF7832"/>
    <w:rsid w:val="00EF7ED3"/>
    <w:rsid w:val="00F00041"/>
    <w:rsid w:val="00F00473"/>
    <w:rsid w:val="00F004C3"/>
    <w:rsid w:val="00F00CD3"/>
    <w:rsid w:val="00F011A7"/>
    <w:rsid w:val="00F017CA"/>
    <w:rsid w:val="00F0194F"/>
    <w:rsid w:val="00F01C05"/>
    <w:rsid w:val="00F0261B"/>
    <w:rsid w:val="00F02649"/>
    <w:rsid w:val="00F0331A"/>
    <w:rsid w:val="00F03323"/>
    <w:rsid w:val="00F0349C"/>
    <w:rsid w:val="00F03582"/>
    <w:rsid w:val="00F037CF"/>
    <w:rsid w:val="00F03EB3"/>
    <w:rsid w:val="00F04511"/>
    <w:rsid w:val="00F04C40"/>
    <w:rsid w:val="00F04CB3"/>
    <w:rsid w:val="00F04E1C"/>
    <w:rsid w:val="00F053A0"/>
    <w:rsid w:val="00F057F4"/>
    <w:rsid w:val="00F06446"/>
    <w:rsid w:val="00F064C1"/>
    <w:rsid w:val="00F06CAE"/>
    <w:rsid w:val="00F07200"/>
    <w:rsid w:val="00F0724E"/>
    <w:rsid w:val="00F07345"/>
    <w:rsid w:val="00F076B9"/>
    <w:rsid w:val="00F07BAB"/>
    <w:rsid w:val="00F101B0"/>
    <w:rsid w:val="00F1042F"/>
    <w:rsid w:val="00F10558"/>
    <w:rsid w:val="00F10DFE"/>
    <w:rsid w:val="00F10FB1"/>
    <w:rsid w:val="00F11605"/>
    <w:rsid w:val="00F11BF9"/>
    <w:rsid w:val="00F11CF6"/>
    <w:rsid w:val="00F11F1D"/>
    <w:rsid w:val="00F11FB5"/>
    <w:rsid w:val="00F1206C"/>
    <w:rsid w:val="00F120CA"/>
    <w:rsid w:val="00F126AE"/>
    <w:rsid w:val="00F12E95"/>
    <w:rsid w:val="00F12ECC"/>
    <w:rsid w:val="00F1346F"/>
    <w:rsid w:val="00F13C8D"/>
    <w:rsid w:val="00F144EB"/>
    <w:rsid w:val="00F146E4"/>
    <w:rsid w:val="00F14734"/>
    <w:rsid w:val="00F14B4A"/>
    <w:rsid w:val="00F15046"/>
    <w:rsid w:val="00F15203"/>
    <w:rsid w:val="00F152C7"/>
    <w:rsid w:val="00F1531D"/>
    <w:rsid w:val="00F153CB"/>
    <w:rsid w:val="00F15874"/>
    <w:rsid w:val="00F159F1"/>
    <w:rsid w:val="00F15B94"/>
    <w:rsid w:val="00F15CAA"/>
    <w:rsid w:val="00F15E1A"/>
    <w:rsid w:val="00F1622B"/>
    <w:rsid w:val="00F165E1"/>
    <w:rsid w:val="00F167FF"/>
    <w:rsid w:val="00F16848"/>
    <w:rsid w:val="00F16AE7"/>
    <w:rsid w:val="00F17203"/>
    <w:rsid w:val="00F173D9"/>
    <w:rsid w:val="00F17619"/>
    <w:rsid w:val="00F17649"/>
    <w:rsid w:val="00F17951"/>
    <w:rsid w:val="00F17A03"/>
    <w:rsid w:val="00F17D2F"/>
    <w:rsid w:val="00F17E31"/>
    <w:rsid w:val="00F17E96"/>
    <w:rsid w:val="00F2028B"/>
    <w:rsid w:val="00F2037E"/>
    <w:rsid w:val="00F20756"/>
    <w:rsid w:val="00F2089A"/>
    <w:rsid w:val="00F20A92"/>
    <w:rsid w:val="00F20B3B"/>
    <w:rsid w:val="00F20BC7"/>
    <w:rsid w:val="00F20C92"/>
    <w:rsid w:val="00F20D45"/>
    <w:rsid w:val="00F219D5"/>
    <w:rsid w:val="00F22E8A"/>
    <w:rsid w:val="00F237FA"/>
    <w:rsid w:val="00F23B9F"/>
    <w:rsid w:val="00F23CD9"/>
    <w:rsid w:val="00F240A8"/>
    <w:rsid w:val="00F2496B"/>
    <w:rsid w:val="00F24E9E"/>
    <w:rsid w:val="00F25396"/>
    <w:rsid w:val="00F254A7"/>
    <w:rsid w:val="00F254E5"/>
    <w:rsid w:val="00F25511"/>
    <w:rsid w:val="00F25678"/>
    <w:rsid w:val="00F25DA1"/>
    <w:rsid w:val="00F267B1"/>
    <w:rsid w:val="00F268B7"/>
    <w:rsid w:val="00F26940"/>
    <w:rsid w:val="00F26A77"/>
    <w:rsid w:val="00F2706B"/>
    <w:rsid w:val="00F272BC"/>
    <w:rsid w:val="00F27334"/>
    <w:rsid w:val="00F27425"/>
    <w:rsid w:val="00F27733"/>
    <w:rsid w:val="00F278C2"/>
    <w:rsid w:val="00F30A97"/>
    <w:rsid w:val="00F30B34"/>
    <w:rsid w:val="00F30CD2"/>
    <w:rsid w:val="00F30EE8"/>
    <w:rsid w:val="00F3110E"/>
    <w:rsid w:val="00F31345"/>
    <w:rsid w:val="00F317BF"/>
    <w:rsid w:val="00F31D62"/>
    <w:rsid w:val="00F31F28"/>
    <w:rsid w:val="00F32105"/>
    <w:rsid w:val="00F32392"/>
    <w:rsid w:val="00F32969"/>
    <w:rsid w:val="00F329D3"/>
    <w:rsid w:val="00F32C79"/>
    <w:rsid w:val="00F33198"/>
    <w:rsid w:val="00F33942"/>
    <w:rsid w:val="00F33AC4"/>
    <w:rsid w:val="00F33C67"/>
    <w:rsid w:val="00F33D40"/>
    <w:rsid w:val="00F33E20"/>
    <w:rsid w:val="00F33E6F"/>
    <w:rsid w:val="00F33F44"/>
    <w:rsid w:val="00F34019"/>
    <w:rsid w:val="00F34202"/>
    <w:rsid w:val="00F34451"/>
    <w:rsid w:val="00F34CB2"/>
    <w:rsid w:val="00F34D84"/>
    <w:rsid w:val="00F35540"/>
    <w:rsid w:val="00F3566A"/>
    <w:rsid w:val="00F35814"/>
    <w:rsid w:val="00F35A0F"/>
    <w:rsid w:val="00F35D12"/>
    <w:rsid w:val="00F35E13"/>
    <w:rsid w:val="00F35F1E"/>
    <w:rsid w:val="00F3613F"/>
    <w:rsid w:val="00F364B9"/>
    <w:rsid w:val="00F369AB"/>
    <w:rsid w:val="00F36CF9"/>
    <w:rsid w:val="00F374CF"/>
    <w:rsid w:val="00F376EB"/>
    <w:rsid w:val="00F37FB4"/>
    <w:rsid w:val="00F40BCA"/>
    <w:rsid w:val="00F40D54"/>
    <w:rsid w:val="00F40FE3"/>
    <w:rsid w:val="00F4148F"/>
    <w:rsid w:val="00F41510"/>
    <w:rsid w:val="00F41A2A"/>
    <w:rsid w:val="00F41A63"/>
    <w:rsid w:val="00F41A91"/>
    <w:rsid w:val="00F41D1C"/>
    <w:rsid w:val="00F41E15"/>
    <w:rsid w:val="00F4213A"/>
    <w:rsid w:val="00F424C1"/>
    <w:rsid w:val="00F42785"/>
    <w:rsid w:val="00F42BEC"/>
    <w:rsid w:val="00F42D36"/>
    <w:rsid w:val="00F42D83"/>
    <w:rsid w:val="00F430AF"/>
    <w:rsid w:val="00F432D2"/>
    <w:rsid w:val="00F43304"/>
    <w:rsid w:val="00F43493"/>
    <w:rsid w:val="00F4368D"/>
    <w:rsid w:val="00F43842"/>
    <w:rsid w:val="00F43AB7"/>
    <w:rsid w:val="00F43BEE"/>
    <w:rsid w:val="00F43C06"/>
    <w:rsid w:val="00F43F45"/>
    <w:rsid w:val="00F4430B"/>
    <w:rsid w:val="00F446F5"/>
    <w:rsid w:val="00F4483B"/>
    <w:rsid w:val="00F4497D"/>
    <w:rsid w:val="00F44CFA"/>
    <w:rsid w:val="00F44E69"/>
    <w:rsid w:val="00F4511A"/>
    <w:rsid w:val="00F455DC"/>
    <w:rsid w:val="00F45713"/>
    <w:rsid w:val="00F4583F"/>
    <w:rsid w:val="00F462EA"/>
    <w:rsid w:val="00F46EED"/>
    <w:rsid w:val="00F472EE"/>
    <w:rsid w:val="00F4731C"/>
    <w:rsid w:val="00F47509"/>
    <w:rsid w:val="00F47B7D"/>
    <w:rsid w:val="00F47EE0"/>
    <w:rsid w:val="00F47F43"/>
    <w:rsid w:val="00F47F8E"/>
    <w:rsid w:val="00F5013C"/>
    <w:rsid w:val="00F50158"/>
    <w:rsid w:val="00F50195"/>
    <w:rsid w:val="00F506E4"/>
    <w:rsid w:val="00F508FB"/>
    <w:rsid w:val="00F50B0B"/>
    <w:rsid w:val="00F50C32"/>
    <w:rsid w:val="00F50C9E"/>
    <w:rsid w:val="00F513CA"/>
    <w:rsid w:val="00F517D5"/>
    <w:rsid w:val="00F51904"/>
    <w:rsid w:val="00F51B89"/>
    <w:rsid w:val="00F51C8B"/>
    <w:rsid w:val="00F521A9"/>
    <w:rsid w:val="00F523B4"/>
    <w:rsid w:val="00F52898"/>
    <w:rsid w:val="00F528F7"/>
    <w:rsid w:val="00F52B1B"/>
    <w:rsid w:val="00F52C8C"/>
    <w:rsid w:val="00F52C90"/>
    <w:rsid w:val="00F52D05"/>
    <w:rsid w:val="00F52D31"/>
    <w:rsid w:val="00F52F84"/>
    <w:rsid w:val="00F530F9"/>
    <w:rsid w:val="00F5327D"/>
    <w:rsid w:val="00F536FF"/>
    <w:rsid w:val="00F53752"/>
    <w:rsid w:val="00F53BFD"/>
    <w:rsid w:val="00F53D17"/>
    <w:rsid w:val="00F53F1B"/>
    <w:rsid w:val="00F54028"/>
    <w:rsid w:val="00F54498"/>
    <w:rsid w:val="00F54871"/>
    <w:rsid w:val="00F54B8F"/>
    <w:rsid w:val="00F54E42"/>
    <w:rsid w:val="00F55506"/>
    <w:rsid w:val="00F558B0"/>
    <w:rsid w:val="00F55E7C"/>
    <w:rsid w:val="00F55F1D"/>
    <w:rsid w:val="00F562FB"/>
    <w:rsid w:val="00F567BA"/>
    <w:rsid w:val="00F5681C"/>
    <w:rsid w:val="00F5686D"/>
    <w:rsid w:val="00F568A5"/>
    <w:rsid w:val="00F5709D"/>
    <w:rsid w:val="00F5742D"/>
    <w:rsid w:val="00F57433"/>
    <w:rsid w:val="00F57681"/>
    <w:rsid w:val="00F576CF"/>
    <w:rsid w:val="00F57818"/>
    <w:rsid w:val="00F5782B"/>
    <w:rsid w:val="00F5784A"/>
    <w:rsid w:val="00F578E0"/>
    <w:rsid w:val="00F57BDC"/>
    <w:rsid w:val="00F57E1F"/>
    <w:rsid w:val="00F608C1"/>
    <w:rsid w:val="00F60987"/>
    <w:rsid w:val="00F60D88"/>
    <w:rsid w:val="00F60FD5"/>
    <w:rsid w:val="00F6105F"/>
    <w:rsid w:val="00F61880"/>
    <w:rsid w:val="00F61904"/>
    <w:rsid w:val="00F619D0"/>
    <w:rsid w:val="00F61F92"/>
    <w:rsid w:val="00F627B7"/>
    <w:rsid w:val="00F62993"/>
    <w:rsid w:val="00F6302B"/>
    <w:rsid w:val="00F6337D"/>
    <w:rsid w:val="00F636A5"/>
    <w:rsid w:val="00F63E7E"/>
    <w:rsid w:val="00F63EF9"/>
    <w:rsid w:val="00F63F48"/>
    <w:rsid w:val="00F6468E"/>
    <w:rsid w:val="00F64D8C"/>
    <w:rsid w:val="00F64DD5"/>
    <w:rsid w:val="00F64ED0"/>
    <w:rsid w:val="00F64F33"/>
    <w:rsid w:val="00F6530F"/>
    <w:rsid w:val="00F6567E"/>
    <w:rsid w:val="00F65E42"/>
    <w:rsid w:val="00F65F39"/>
    <w:rsid w:val="00F6618C"/>
    <w:rsid w:val="00F662F7"/>
    <w:rsid w:val="00F6648E"/>
    <w:rsid w:val="00F665C1"/>
    <w:rsid w:val="00F66710"/>
    <w:rsid w:val="00F669C7"/>
    <w:rsid w:val="00F67167"/>
    <w:rsid w:val="00F6761B"/>
    <w:rsid w:val="00F67E52"/>
    <w:rsid w:val="00F67EBC"/>
    <w:rsid w:val="00F700C3"/>
    <w:rsid w:val="00F709B7"/>
    <w:rsid w:val="00F709C2"/>
    <w:rsid w:val="00F70B57"/>
    <w:rsid w:val="00F70E9D"/>
    <w:rsid w:val="00F71247"/>
    <w:rsid w:val="00F7154B"/>
    <w:rsid w:val="00F719BA"/>
    <w:rsid w:val="00F71C3F"/>
    <w:rsid w:val="00F71D19"/>
    <w:rsid w:val="00F71EA0"/>
    <w:rsid w:val="00F72215"/>
    <w:rsid w:val="00F7271D"/>
    <w:rsid w:val="00F72795"/>
    <w:rsid w:val="00F72AF9"/>
    <w:rsid w:val="00F72D00"/>
    <w:rsid w:val="00F72F06"/>
    <w:rsid w:val="00F72F27"/>
    <w:rsid w:val="00F7311F"/>
    <w:rsid w:val="00F73261"/>
    <w:rsid w:val="00F732BF"/>
    <w:rsid w:val="00F7330B"/>
    <w:rsid w:val="00F7336A"/>
    <w:rsid w:val="00F73592"/>
    <w:rsid w:val="00F739AE"/>
    <w:rsid w:val="00F73BA2"/>
    <w:rsid w:val="00F73C72"/>
    <w:rsid w:val="00F73D64"/>
    <w:rsid w:val="00F73DED"/>
    <w:rsid w:val="00F73F4E"/>
    <w:rsid w:val="00F7430F"/>
    <w:rsid w:val="00F747F5"/>
    <w:rsid w:val="00F74E1C"/>
    <w:rsid w:val="00F74FCE"/>
    <w:rsid w:val="00F75234"/>
    <w:rsid w:val="00F75361"/>
    <w:rsid w:val="00F75556"/>
    <w:rsid w:val="00F75798"/>
    <w:rsid w:val="00F75D6A"/>
    <w:rsid w:val="00F76395"/>
    <w:rsid w:val="00F7641D"/>
    <w:rsid w:val="00F7696A"/>
    <w:rsid w:val="00F77215"/>
    <w:rsid w:val="00F7731B"/>
    <w:rsid w:val="00F773A9"/>
    <w:rsid w:val="00F7779C"/>
    <w:rsid w:val="00F777A7"/>
    <w:rsid w:val="00F77B40"/>
    <w:rsid w:val="00F77DC8"/>
    <w:rsid w:val="00F806F4"/>
    <w:rsid w:val="00F808FD"/>
    <w:rsid w:val="00F809A1"/>
    <w:rsid w:val="00F80A0F"/>
    <w:rsid w:val="00F80BCE"/>
    <w:rsid w:val="00F80C5B"/>
    <w:rsid w:val="00F80D48"/>
    <w:rsid w:val="00F812D1"/>
    <w:rsid w:val="00F8172A"/>
    <w:rsid w:val="00F81C5C"/>
    <w:rsid w:val="00F831A6"/>
    <w:rsid w:val="00F83EC1"/>
    <w:rsid w:val="00F843F1"/>
    <w:rsid w:val="00F844E5"/>
    <w:rsid w:val="00F845E3"/>
    <w:rsid w:val="00F846BB"/>
    <w:rsid w:val="00F84868"/>
    <w:rsid w:val="00F84B03"/>
    <w:rsid w:val="00F84EC1"/>
    <w:rsid w:val="00F85489"/>
    <w:rsid w:val="00F85C0A"/>
    <w:rsid w:val="00F85D86"/>
    <w:rsid w:val="00F85EE4"/>
    <w:rsid w:val="00F86341"/>
    <w:rsid w:val="00F864C3"/>
    <w:rsid w:val="00F8681F"/>
    <w:rsid w:val="00F86993"/>
    <w:rsid w:val="00F869BC"/>
    <w:rsid w:val="00F86A13"/>
    <w:rsid w:val="00F87224"/>
    <w:rsid w:val="00F8753D"/>
    <w:rsid w:val="00F87757"/>
    <w:rsid w:val="00F8777F"/>
    <w:rsid w:val="00F87BE0"/>
    <w:rsid w:val="00F87D2F"/>
    <w:rsid w:val="00F87F17"/>
    <w:rsid w:val="00F87F92"/>
    <w:rsid w:val="00F9028C"/>
    <w:rsid w:val="00F9032A"/>
    <w:rsid w:val="00F90716"/>
    <w:rsid w:val="00F90F54"/>
    <w:rsid w:val="00F910DB"/>
    <w:rsid w:val="00F911B2"/>
    <w:rsid w:val="00F91410"/>
    <w:rsid w:val="00F918AA"/>
    <w:rsid w:val="00F919B9"/>
    <w:rsid w:val="00F92028"/>
    <w:rsid w:val="00F9213C"/>
    <w:rsid w:val="00F92235"/>
    <w:rsid w:val="00F9227F"/>
    <w:rsid w:val="00F9254F"/>
    <w:rsid w:val="00F929A1"/>
    <w:rsid w:val="00F92DA0"/>
    <w:rsid w:val="00F93387"/>
    <w:rsid w:val="00F93389"/>
    <w:rsid w:val="00F93B42"/>
    <w:rsid w:val="00F93B86"/>
    <w:rsid w:val="00F93BF2"/>
    <w:rsid w:val="00F93F55"/>
    <w:rsid w:val="00F9428E"/>
    <w:rsid w:val="00F9444C"/>
    <w:rsid w:val="00F94879"/>
    <w:rsid w:val="00F94B33"/>
    <w:rsid w:val="00F94C05"/>
    <w:rsid w:val="00F952FE"/>
    <w:rsid w:val="00F95586"/>
    <w:rsid w:val="00F95646"/>
    <w:rsid w:val="00F95B28"/>
    <w:rsid w:val="00F95C82"/>
    <w:rsid w:val="00F95D4B"/>
    <w:rsid w:val="00F96158"/>
    <w:rsid w:val="00F96375"/>
    <w:rsid w:val="00F964D6"/>
    <w:rsid w:val="00F97A59"/>
    <w:rsid w:val="00F97C44"/>
    <w:rsid w:val="00F97E77"/>
    <w:rsid w:val="00FA0638"/>
    <w:rsid w:val="00FA07A7"/>
    <w:rsid w:val="00FA07E7"/>
    <w:rsid w:val="00FA0A24"/>
    <w:rsid w:val="00FA0CA3"/>
    <w:rsid w:val="00FA0EA4"/>
    <w:rsid w:val="00FA0FFC"/>
    <w:rsid w:val="00FA1085"/>
    <w:rsid w:val="00FA10CA"/>
    <w:rsid w:val="00FA154E"/>
    <w:rsid w:val="00FA16C3"/>
    <w:rsid w:val="00FA17EA"/>
    <w:rsid w:val="00FA1AB0"/>
    <w:rsid w:val="00FA1D50"/>
    <w:rsid w:val="00FA1D66"/>
    <w:rsid w:val="00FA1E6C"/>
    <w:rsid w:val="00FA2061"/>
    <w:rsid w:val="00FA27CB"/>
    <w:rsid w:val="00FA29A8"/>
    <w:rsid w:val="00FA29DC"/>
    <w:rsid w:val="00FA2C0D"/>
    <w:rsid w:val="00FA2E5B"/>
    <w:rsid w:val="00FA3045"/>
    <w:rsid w:val="00FA30D9"/>
    <w:rsid w:val="00FA3458"/>
    <w:rsid w:val="00FA34B5"/>
    <w:rsid w:val="00FA37E1"/>
    <w:rsid w:val="00FA3ABC"/>
    <w:rsid w:val="00FA3C52"/>
    <w:rsid w:val="00FA4199"/>
    <w:rsid w:val="00FA43CE"/>
    <w:rsid w:val="00FA4890"/>
    <w:rsid w:val="00FA4ADA"/>
    <w:rsid w:val="00FA4BB0"/>
    <w:rsid w:val="00FA55BC"/>
    <w:rsid w:val="00FA5664"/>
    <w:rsid w:val="00FA568E"/>
    <w:rsid w:val="00FA5A8D"/>
    <w:rsid w:val="00FA5DCB"/>
    <w:rsid w:val="00FA617C"/>
    <w:rsid w:val="00FA62B7"/>
    <w:rsid w:val="00FA65EB"/>
    <w:rsid w:val="00FA66B6"/>
    <w:rsid w:val="00FA68B8"/>
    <w:rsid w:val="00FA6E70"/>
    <w:rsid w:val="00FA717A"/>
    <w:rsid w:val="00FA7264"/>
    <w:rsid w:val="00FA7575"/>
    <w:rsid w:val="00FA7641"/>
    <w:rsid w:val="00FA78CE"/>
    <w:rsid w:val="00FA7C51"/>
    <w:rsid w:val="00FA7D96"/>
    <w:rsid w:val="00FA7F04"/>
    <w:rsid w:val="00FA7F9F"/>
    <w:rsid w:val="00FB0061"/>
    <w:rsid w:val="00FB00F3"/>
    <w:rsid w:val="00FB01F7"/>
    <w:rsid w:val="00FB0568"/>
    <w:rsid w:val="00FB06C9"/>
    <w:rsid w:val="00FB08D2"/>
    <w:rsid w:val="00FB0E21"/>
    <w:rsid w:val="00FB0E4E"/>
    <w:rsid w:val="00FB0FE7"/>
    <w:rsid w:val="00FB139B"/>
    <w:rsid w:val="00FB22E4"/>
    <w:rsid w:val="00FB2491"/>
    <w:rsid w:val="00FB261E"/>
    <w:rsid w:val="00FB261F"/>
    <w:rsid w:val="00FB26DE"/>
    <w:rsid w:val="00FB294F"/>
    <w:rsid w:val="00FB2B24"/>
    <w:rsid w:val="00FB2BC1"/>
    <w:rsid w:val="00FB2C7E"/>
    <w:rsid w:val="00FB2E12"/>
    <w:rsid w:val="00FB35F1"/>
    <w:rsid w:val="00FB3761"/>
    <w:rsid w:val="00FB3F05"/>
    <w:rsid w:val="00FB423B"/>
    <w:rsid w:val="00FB43C7"/>
    <w:rsid w:val="00FB47D1"/>
    <w:rsid w:val="00FB48D0"/>
    <w:rsid w:val="00FB5412"/>
    <w:rsid w:val="00FB55D8"/>
    <w:rsid w:val="00FB5AC0"/>
    <w:rsid w:val="00FB61F7"/>
    <w:rsid w:val="00FB65F0"/>
    <w:rsid w:val="00FB6751"/>
    <w:rsid w:val="00FB6824"/>
    <w:rsid w:val="00FB6953"/>
    <w:rsid w:val="00FB6AB2"/>
    <w:rsid w:val="00FB709F"/>
    <w:rsid w:val="00FB70E4"/>
    <w:rsid w:val="00FB7290"/>
    <w:rsid w:val="00FB736B"/>
    <w:rsid w:val="00FB755C"/>
    <w:rsid w:val="00FC0378"/>
    <w:rsid w:val="00FC0944"/>
    <w:rsid w:val="00FC0A61"/>
    <w:rsid w:val="00FC0D38"/>
    <w:rsid w:val="00FC10F2"/>
    <w:rsid w:val="00FC1123"/>
    <w:rsid w:val="00FC11F6"/>
    <w:rsid w:val="00FC1351"/>
    <w:rsid w:val="00FC1826"/>
    <w:rsid w:val="00FC194A"/>
    <w:rsid w:val="00FC1ADC"/>
    <w:rsid w:val="00FC2323"/>
    <w:rsid w:val="00FC2C46"/>
    <w:rsid w:val="00FC2CC7"/>
    <w:rsid w:val="00FC3258"/>
    <w:rsid w:val="00FC332A"/>
    <w:rsid w:val="00FC37D0"/>
    <w:rsid w:val="00FC3AD1"/>
    <w:rsid w:val="00FC42AE"/>
    <w:rsid w:val="00FC4704"/>
    <w:rsid w:val="00FC48B6"/>
    <w:rsid w:val="00FC48DF"/>
    <w:rsid w:val="00FC515A"/>
    <w:rsid w:val="00FC55F4"/>
    <w:rsid w:val="00FC5835"/>
    <w:rsid w:val="00FC585E"/>
    <w:rsid w:val="00FC5A10"/>
    <w:rsid w:val="00FC66B1"/>
    <w:rsid w:val="00FC66C3"/>
    <w:rsid w:val="00FC678F"/>
    <w:rsid w:val="00FC6947"/>
    <w:rsid w:val="00FC6B02"/>
    <w:rsid w:val="00FC6CCD"/>
    <w:rsid w:val="00FC6EC5"/>
    <w:rsid w:val="00FC70E4"/>
    <w:rsid w:val="00FC71A7"/>
    <w:rsid w:val="00FC71AA"/>
    <w:rsid w:val="00FC71B3"/>
    <w:rsid w:val="00FC7294"/>
    <w:rsid w:val="00FC749A"/>
    <w:rsid w:val="00FC77B0"/>
    <w:rsid w:val="00FC7975"/>
    <w:rsid w:val="00FC79CD"/>
    <w:rsid w:val="00FC7AC4"/>
    <w:rsid w:val="00FC7DA1"/>
    <w:rsid w:val="00FD0619"/>
    <w:rsid w:val="00FD0806"/>
    <w:rsid w:val="00FD0A61"/>
    <w:rsid w:val="00FD0E19"/>
    <w:rsid w:val="00FD11F3"/>
    <w:rsid w:val="00FD14EE"/>
    <w:rsid w:val="00FD150A"/>
    <w:rsid w:val="00FD172C"/>
    <w:rsid w:val="00FD1B7F"/>
    <w:rsid w:val="00FD27B4"/>
    <w:rsid w:val="00FD2AF8"/>
    <w:rsid w:val="00FD39D9"/>
    <w:rsid w:val="00FD4114"/>
    <w:rsid w:val="00FD41A5"/>
    <w:rsid w:val="00FD433B"/>
    <w:rsid w:val="00FD44C3"/>
    <w:rsid w:val="00FD468E"/>
    <w:rsid w:val="00FD4A10"/>
    <w:rsid w:val="00FD4BC8"/>
    <w:rsid w:val="00FD5398"/>
    <w:rsid w:val="00FD5BDF"/>
    <w:rsid w:val="00FD5D1E"/>
    <w:rsid w:val="00FD639B"/>
    <w:rsid w:val="00FD69FC"/>
    <w:rsid w:val="00FD6B89"/>
    <w:rsid w:val="00FD751C"/>
    <w:rsid w:val="00FD76AE"/>
    <w:rsid w:val="00FD78A4"/>
    <w:rsid w:val="00FD79C0"/>
    <w:rsid w:val="00FD7BD1"/>
    <w:rsid w:val="00FD7C88"/>
    <w:rsid w:val="00FD7E07"/>
    <w:rsid w:val="00FE0109"/>
    <w:rsid w:val="00FE0258"/>
    <w:rsid w:val="00FE0D77"/>
    <w:rsid w:val="00FE1384"/>
    <w:rsid w:val="00FE1791"/>
    <w:rsid w:val="00FE1829"/>
    <w:rsid w:val="00FE1911"/>
    <w:rsid w:val="00FE1A68"/>
    <w:rsid w:val="00FE25C1"/>
    <w:rsid w:val="00FE304A"/>
    <w:rsid w:val="00FE371F"/>
    <w:rsid w:val="00FE3903"/>
    <w:rsid w:val="00FE3A8B"/>
    <w:rsid w:val="00FE3B63"/>
    <w:rsid w:val="00FE3D92"/>
    <w:rsid w:val="00FE3EF2"/>
    <w:rsid w:val="00FE4086"/>
    <w:rsid w:val="00FE40B0"/>
    <w:rsid w:val="00FE4846"/>
    <w:rsid w:val="00FE4ABC"/>
    <w:rsid w:val="00FE4D09"/>
    <w:rsid w:val="00FE4E92"/>
    <w:rsid w:val="00FE4FA4"/>
    <w:rsid w:val="00FE4FC7"/>
    <w:rsid w:val="00FE51BE"/>
    <w:rsid w:val="00FE525D"/>
    <w:rsid w:val="00FE568D"/>
    <w:rsid w:val="00FE57F8"/>
    <w:rsid w:val="00FE5A16"/>
    <w:rsid w:val="00FE5CA8"/>
    <w:rsid w:val="00FE5D8D"/>
    <w:rsid w:val="00FE5EE1"/>
    <w:rsid w:val="00FE6205"/>
    <w:rsid w:val="00FE65A5"/>
    <w:rsid w:val="00FE6A3D"/>
    <w:rsid w:val="00FE6CD1"/>
    <w:rsid w:val="00FE6ED2"/>
    <w:rsid w:val="00FE73B7"/>
    <w:rsid w:val="00FE7552"/>
    <w:rsid w:val="00FE7EC5"/>
    <w:rsid w:val="00FE7F7C"/>
    <w:rsid w:val="00FF0052"/>
    <w:rsid w:val="00FF0DEE"/>
    <w:rsid w:val="00FF1071"/>
    <w:rsid w:val="00FF135F"/>
    <w:rsid w:val="00FF14FE"/>
    <w:rsid w:val="00FF156F"/>
    <w:rsid w:val="00FF1630"/>
    <w:rsid w:val="00FF1916"/>
    <w:rsid w:val="00FF1B88"/>
    <w:rsid w:val="00FF2050"/>
    <w:rsid w:val="00FF2371"/>
    <w:rsid w:val="00FF23A1"/>
    <w:rsid w:val="00FF2466"/>
    <w:rsid w:val="00FF26FE"/>
    <w:rsid w:val="00FF2C3E"/>
    <w:rsid w:val="00FF2DE9"/>
    <w:rsid w:val="00FF2E9F"/>
    <w:rsid w:val="00FF3046"/>
    <w:rsid w:val="00FF3254"/>
    <w:rsid w:val="00FF32AB"/>
    <w:rsid w:val="00FF3515"/>
    <w:rsid w:val="00FF3577"/>
    <w:rsid w:val="00FF3CE5"/>
    <w:rsid w:val="00FF3D30"/>
    <w:rsid w:val="00FF3E65"/>
    <w:rsid w:val="00FF3F0A"/>
    <w:rsid w:val="00FF4440"/>
    <w:rsid w:val="00FF448B"/>
    <w:rsid w:val="00FF49CA"/>
    <w:rsid w:val="00FF546F"/>
    <w:rsid w:val="00FF5528"/>
    <w:rsid w:val="00FF5A71"/>
    <w:rsid w:val="00FF5ADC"/>
    <w:rsid w:val="00FF5DCA"/>
    <w:rsid w:val="00FF61B5"/>
    <w:rsid w:val="00FF61B7"/>
    <w:rsid w:val="00FF6694"/>
    <w:rsid w:val="00FF6D65"/>
    <w:rsid w:val="00FF6DBC"/>
    <w:rsid w:val="00FF6DE0"/>
    <w:rsid w:val="00FF733F"/>
    <w:rsid w:val="00FF73F9"/>
    <w:rsid w:val="00FF75BF"/>
    <w:rsid w:val="00FF7611"/>
    <w:rsid w:val="00FF7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3155"/>
  <w15:docId w15:val="{46A422AC-3935-490A-88C8-F546A363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EE"/>
  </w:style>
  <w:style w:type="paragraph" w:styleId="Heading1">
    <w:name w:val="heading 1"/>
    <w:basedOn w:val="Normal"/>
    <w:next w:val="Normal"/>
    <w:link w:val="Heading1Char"/>
    <w:uiPriority w:val="9"/>
    <w:qFormat/>
    <w:rsid w:val="0042240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2240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2240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1665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039A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209C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209C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4209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209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011"/>
    <w:pPr>
      <w:ind w:left="720"/>
      <w:contextualSpacing/>
    </w:pPr>
  </w:style>
  <w:style w:type="paragraph" w:styleId="FootnoteText">
    <w:name w:val="footnote text"/>
    <w:basedOn w:val="Normal"/>
    <w:link w:val="FootnoteTextChar"/>
    <w:uiPriority w:val="99"/>
    <w:unhideWhenUsed/>
    <w:qFormat/>
    <w:rsid w:val="001C5EA7"/>
    <w:pPr>
      <w:spacing w:after="0" w:line="240" w:lineRule="auto"/>
      <w:ind w:left="147" w:hanging="147"/>
      <w:jc w:val="both"/>
    </w:pPr>
    <w:rPr>
      <w:rFonts w:ascii="Calibri" w:eastAsia="Calibri" w:hAnsi="Calibri" w:cs="Times New Roman"/>
      <w:sz w:val="16"/>
      <w:szCs w:val="20"/>
    </w:rPr>
  </w:style>
  <w:style w:type="character" w:customStyle="1" w:styleId="FootnoteTextChar">
    <w:name w:val="Footnote Text Char"/>
    <w:basedOn w:val="DefaultParagraphFont"/>
    <w:link w:val="FootnoteText"/>
    <w:uiPriority w:val="99"/>
    <w:rsid w:val="001C5EA7"/>
    <w:rPr>
      <w:rFonts w:ascii="Calibri" w:eastAsia="Calibri" w:hAnsi="Calibri" w:cs="Times New Roman"/>
      <w:sz w:val="16"/>
      <w:szCs w:val="20"/>
    </w:rPr>
  </w:style>
  <w:style w:type="character" w:styleId="FootnoteReference">
    <w:name w:val="footnote reference"/>
    <w:uiPriority w:val="99"/>
    <w:unhideWhenUsed/>
    <w:qFormat/>
    <w:rsid w:val="001C5EA7"/>
    <w:rPr>
      <w:vertAlign w:val="superscript"/>
    </w:rPr>
  </w:style>
  <w:style w:type="character" w:styleId="Hyperlink">
    <w:name w:val="Hyperlink"/>
    <w:basedOn w:val="DefaultParagraphFont"/>
    <w:uiPriority w:val="99"/>
    <w:unhideWhenUsed/>
    <w:rsid w:val="00164E6B"/>
    <w:rPr>
      <w:color w:val="0563C1" w:themeColor="hyperlink"/>
      <w:u w:val="single"/>
    </w:rPr>
  </w:style>
  <w:style w:type="character" w:customStyle="1" w:styleId="listtitle1">
    <w:name w:val="list_title1"/>
    <w:basedOn w:val="DefaultParagraphFont"/>
    <w:rsid w:val="0059634A"/>
    <w:rPr>
      <w:rFonts w:ascii="Tahoma" w:hAnsi="Tahoma" w:cs="Tahoma" w:hint="default"/>
      <w:color w:val="000000"/>
      <w:sz w:val="18"/>
      <w:szCs w:val="18"/>
    </w:rPr>
  </w:style>
  <w:style w:type="paragraph" w:styleId="BalloonText">
    <w:name w:val="Balloon Text"/>
    <w:basedOn w:val="Normal"/>
    <w:link w:val="BalloonTextChar"/>
    <w:uiPriority w:val="99"/>
    <w:semiHidden/>
    <w:unhideWhenUsed/>
    <w:rsid w:val="0081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paragraph" w:customStyle="1" w:styleId="Default">
    <w:name w:val="Default"/>
    <w:rsid w:val="00EC1E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F7E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E73"/>
  </w:style>
  <w:style w:type="paragraph" w:styleId="Footer">
    <w:name w:val="footer"/>
    <w:basedOn w:val="Normal"/>
    <w:link w:val="FooterChar"/>
    <w:uiPriority w:val="99"/>
    <w:unhideWhenUsed/>
    <w:rsid w:val="00AF7E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E73"/>
  </w:style>
  <w:style w:type="character" w:styleId="FollowedHyperlink">
    <w:name w:val="FollowedHyperlink"/>
    <w:basedOn w:val="DefaultParagraphFont"/>
    <w:uiPriority w:val="99"/>
    <w:semiHidden/>
    <w:unhideWhenUsed/>
    <w:rsid w:val="005B1961"/>
    <w:rPr>
      <w:color w:val="954F72" w:themeColor="followedHyperlink"/>
      <w:u w:val="single"/>
    </w:rPr>
  </w:style>
  <w:style w:type="character" w:styleId="CommentReference">
    <w:name w:val="annotation reference"/>
    <w:basedOn w:val="DefaultParagraphFont"/>
    <w:uiPriority w:val="99"/>
    <w:semiHidden/>
    <w:unhideWhenUsed/>
    <w:rsid w:val="00205ADA"/>
    <w:rPr>
      <w:sz w:val="16"/>
      <w:szCs w:val="16"/>
    </w:rPr>
  </w:style>
  <w:style w:type="paragraph" w:styleId="CommentText">
    <w:name w:val="annotation text"/>
    <w:basedOn w:val="Normal"/>
    <w:link w:val="CommentTextChar1"/>
    <w:uiPriority w:val="99"/>
    <w:unhideWhenUsed/>
    <w:rsid w:val="00205ADA"/>
    <w:pPr>
      <w:spacing w:line="240" w:lineRule="auto"/>
    </w:pPr>
    <w:rPr>
      <w:sz w:val="20"/>
      <w:szCs w:val="20"/>
    </w:rPr>
  </w:style>
  <w:style w:type="character" w:customStyle="1" w:styleId="CommentTextChar1">
    <w:name w:val="Comment Text Char1"/>
    <w:basedOn w:val="DefaultParagraphFont"/>
    <w:link w:val="CommentText"/>
    <w:uiPriority w:val="99"/>
    <w:rsid w:val="00205ADA"/>
    <w:rPr>
      <w:sz w:val="20"/>
      <w:szCs w:val="20"/>
    </w:rPr>
  </w:style>
  <w:style w:type="paragraph" w:styleId="CommentSubject">
    <w:name w:val="annotation subject"/>
    <w:basedOn w:val="CommentText"/>
    <w:next w:val="CommentText"/>
    <w:link w:val="CommentSubjectChar"/>
    <w:uiPriority w:val="99"/>
    <w:semiHidden/>
    <w:unhideWhenUsed/>
    <w:rsid w:val="00205ADA"/>
    <w:rPr>
      <w:b/>
      <w:bCs/>
    </w:rPr>
  </w:style>
  <w:style w:type="character" w:customStyle="1" w:styleId="CommentSubjectChar">
    <w:name w:val="Comment Subject Char"/>
    <w:basedOn w:val="CommentTextChar1"/>
    <w:link w:val="CommentSubject"/>
    <w:uiPriority w:val="99"/>
    <w:semiHidden/>
    <w:rsid w:val="00205ADA"/>
    <w:rPr>
      <w:b/>
      <w:bCs/>
      <w:sz w:val="20"/>
      <w:szCs w:val="20"/>
    </w:rPr>
  </w:style>
  <w:style w:type="table" w:styleId="TableGrid">
    <w:name w:val="Table Grid"/>
    <w:basedOn w:val="TableNormal"/>
    <w:uiPriority w:val="39"/>
    <w:rsid w:val="0018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40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2240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2240C"/>
    <w:rPr>
      <w:rFonts w:asciiTheme="majorHAnsi" w:eastAsiaTheme="majorEastAsia" w:hAnsiTheme="majorHAnsi" w:cstheme="majorBidi"/>
      <w:b/>
      <w:bCs/>
      <w:color w:val="4472C4" w:themeColor="accent1"/>
    </w:rPr>
  </w:style>
  <w:style w:type="paragraph" w:styleId="TOCHeading">
    <w:name w:val="TOC Heading"/>
    <w:basedOn w:val="Heading1"/>
    <w:next w:val="Normal"/>
    <w:uiPriority w:val="39"/>
    <w:unhideWhenUsed/>
    <w:qFormat/>
    <w:rsid w:val="000B0C52"/>
    <w:pPr>
      <w:spacing w:line="276" w:lineRule="auto"/>
      <w:outlineLvl w:val="9"/>
    </w:pPr>
    <w:rPr>
      <w:lang w:val="en-US" w:eastAsia="ja-JP"/>
    </w:rPr>
  </w:style>
  <w:style w:type="paragraph" w:styleId="TOC1">
    <w:name w:val="toc 1"/>
    <w:basedOn w:val="Normal"/>
    <w:next w:val="Normal"/>
    <w:autoRedefine/>
    <w:uiPriority w:val="39"/>
    <w:unhideWhenUsed/>
    <w:rsid w:val="003F4309"/>
    <w:pPr>
      <w:tabs>
        <w:tab w:val="left" w:pos="440"/>
        <w:tab w:val="right" w:leader="dot" w:pos="8296"/>
      </w:tabs>
      <w:spacing w:after="100" w:line="240" w:lineRule="auto"/>
      <w:jc w:val="both"/>
    </w:pPr>
    <w:rPr>
      <w:rFonts w:eastAsia="Calibri"/>
      <w:b/>
      <w:bCs/>
      <w:color w:val="595959" w:themeColor="text1" w:themeTint="A6"/>
    </w:rPr>
  </w:style>
  <w:style w:type="paragraph" w:styleId="TOC2">
    <w:name w:val="toc 2"/>
    <w:basedOn w:val="Normal"/>
    <w:next w:val="Normal"/>
    <w:autoRedefine/>
    <w:uiPriority w:val="39"/>
    <w:unhideWhenUsed/>
    <w:rsid w:val="00575DEB"/>
    <w:pPr>
      <w:tabs>
        <w:tab w:val="right" w:leader="dot" w:pos="8296"/>
      </w:tabs>
      <w:spacing w:after="100"/>
      <w:ind w:left="220"/>
    </w:pPr>
    <w:rPr>
      <w:rFonts w:ascii="Calibri Light" w:eastAsia="Times New Roman" w:hAnsi="Calibri Light" w:cs="Times New Roman"/>
      <w:bCs/>
      <w:noProof/>
      <w:color w:val="595959" w:themeColor="text1" w:themeTint="A6"/>
    </w:rPr>
  </w:style>
  <w:style w:type="paragraph" w:styleId="TOC3">
    <w:name w:val="toc 3"/>
    <w:basedOn w:val="Normal"/>
    <w:next w:val="Normal"/>
    <w:autoRedefine/>
    <w:uiPriority w:val="39"/>
    <w:unhideWhenUsed/>
    <w:rsid w:val="00A67449"/>
    <w:pPr>
      <w:tabs>
        <w:tab w:val="right" w:leader="dot" w:pos="8296"/>
      </w:tabs>
      <w:spacing w:after="100" w:line="240" w:lineRule="auto"/>
      <w:ind w:left="440"/>
      <w:jc w:val="both"/>
    </w:pPr>
    <w:rPr>
      <w:rFonts w:ascii="Calibri Light" w:eastAsia="Times New Roman" w:hAnsi="Calibri Light" w:cs="Times New Roman"/>
      <w:bCs/>
      <w:noProof/>
    </w:rPr>
  </w:style>
  <w:style w:type="paragraph" w:styleId="Caption">
    <w:name w:val="caption"/>
    <w:basedOn w:val="Normal"/>
    <w:next w:val="Normal"/>
    <w:uiPriority w:val="35"/>
    <w:unhideWhenUsed/>
    <w:qFormat/>
    <w:rsid w:val="00B34E0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BF413D"/>
    <w:pPr>
      <w:spacing w:after="0"/>
    </w:pPr>
  </w:style>
  <w:style w:type="paragraph" w:customStyle="1" w:styleId="DecimalAligned">
    <w:name w:val="Decimal Aligned"/>
    <w:basedOn w:val="Normal"/>
    <w:uiPriority w:val="40"/>
    <w:qFormat/>
    <w:rsid w:val="002C7222"/>
    <w:pPr>
      <w:tabs>
        <w:tab w:val="decimal" w:pos="360"/>
      </w:tabs>
      <w:spacing w:after="200" w:line="276" w:lineRule="auto"/>
    </w:pPr>
    <w:rPr>
      <w:lang w:eastAsia="el-GR"/>
    </w:rPr>
  </w:style>
  <w:style w:type="character" w:styleId="SubtleEmphasis">
    <w:name w:val="Subtle Emphasis"/>
    <w:basedOn w:val="DefaultParagraphFont"/>
    <w:uiPriority w:val="19"/>
    <w:qFormat/>
    <w:rsid w:val="002C7222"/>
    <w:rPr>
      <w:i/>
      <w:iCs/>
      <w:color w:val="7F7F7F" w:themeColor="text1" w:themeTint="80"/>
    </w:rPr>
  </w:style>
  <w:style w:type="table" w:customStyle="1" w:styleId="LightShading-Accent11">
    <w:name w:val="Light Shading - Accent 11"/>
    <w:basedOn w:val="TableNormal"/>
    <w:uiPriority w:val="60"/>
    <w:rsid w:val="002C7222"/>
    <w:pPr>
      <w:spacing w:after="0" w:line="240" w:lineRule="auto"/>
    </w:pPr>
    <w:rPr>
      <w:rFonts w:eastAsiaTheme="minorEastAsia"/>
      <w:color w:val="2F5496" w:themeColor="accent1" w:themeShade="BF"/>
      <w:lang w:eastAsia="el-G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color w:val="2F5496" w:themeColor="accent1" w:themeShade="BF"/>
      </w:rPr>
    </w:tblStylePr>
    <w:tblStylePr w:type="lastCol">
      <w:rPr>
        <w:b/>
        <w:bCs/>
        <w:color w:val="2F5496" w:themeColor="accent1" w:themeShade="BF"/>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1">
    <w:name w:val="Αναφορά1"/>
    <w:basedOn w:val="DefaultParagraphFont"/>
    <w:uiPriority w:val="99"/>
    <w:semiHidden/>
    <w:unhideWhenUsed/>
    <w:rsid w:val="002D1D96"/>
    <w:rPr>
      <w:color w:val="2B579A"/>
      <w:shd w:val="clear" w:color="auto" w:fill="E6E6E6"/>
    </w:rPr>
  </w:style>
  <w:style w:type="character" w:customStyle="1" w:styleId="2">
    <w:name w:val="Αναφορά2"/>
    <w:basedOn w:val="DefaultParagraphFont"/>
    <w:uiPriority w:val="99"/>
    <w:semiHidden/>
    <w:unhideWhenUsed/>
    <w:rsid w:val="00542B60"/>
    <w:rPr>
      <w:color w:val="2B579A"/>
      <w:shd w:val="clear" w:color="auto" w:fill="E6E6E6"/>
    </w:rPr>
  </w:style>
  <w:style w:type="table" w:styleId="ColorfulList-Accent3">
    <w:name w:val="Colorful List Accent 3"/>
    <w:basedOn w:val="TableNormal"/>
    <w:uiPriority w:val="72"/>
    <w:rsid w:val="00C81F7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MediumShading2-Accent4">
    <w:name w:val="Medium Shading 2 Accent 4"/>
    <w:basedOn w:val="TableNormal"/>
    <w:uiPriority w:val="64"/>
    <w:rsid w:val="00C81F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0941B7"/>
    <w:rPr>
      <w:color w:val="808080"/>
    </w:rPr>
  </w:style>
  <w:style w:type="character" w:customStyle="1" w:styleId="10">
    <w:name w:val="Ανεπίλυτη αναφορά1"/>
    <w:basedOn w:val="DefaultParagraphFont"/>
    <w:uiPriority w:val="99"/>
    <w:semiHidden/>
    <w:unhideWhenUsed/>
    <w:rsid w:val="00566A3C"/>
    <w:rPr>
      <w:color w:val="808080"/>
      <w:shd w:val="clear" w:color="auto" w:fill="E6E6E6"/>
    </w:rPr>
  </w:style>
  <w:style w:type="character" w:customStyle="1" w:styleId="3">
    <w:name w:val="Αναφορά3"/>
    <w:basedOn w:val="DefaultParagraphFont"/>
    <w:uiPriority w:val="99"/>
    <w:semiHidden/>
    <w:unhideWhenUsed/>
    <w:rsid w:val="00AB4FA9"/>
    <w:rPr>
      <w:color w:val="2B579A"/>
      <w:shd w:val="clear" w:color="auto" w:fill="E6E6E6"/>
    </w:rPr>
  </w:style>
  <w:style w:type="table" w:customStyle="1" w:styleId="TableGrid1">
    <w:name w:val="Table Grid1"/>
    <w:basedOn w:val="TableNormal"/>
    <w:next w:val="TableGrid"/>
    <w:uiPriority w:val="39"/>
    <w:rsid w:val="0019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Αναφορά4"/>
    <w:basedOn w:val="DefaultParagraphFont"/>
    <w:uiPriority w:val="99"/>
    <w:semiHidden/>
    <w:unhideWhenUsed/>
    <w:rsid w:val="00534F6E"/>
    <w:rPr>
      <w:color w:val="2B579A"/>
      <w:shd w:val="clear" w:color="auto" w:fill="E6E6E6"/>
    </w:rPr>
  </w:style>
  <w:style w:type="paragraph" w:styleId="HTMLPreformatted">
    <w:name w:val="HTML Preformatted"/>
    <w:basedOn w:val="Normal"/>
    <w:link w:val="HTMLPreformattedChar"/>
    <w:uiPriority w:val="99"/>
    <w:unhideWhenUsed/>
    <w:rsid w:val="000D6D8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D6D80"/>
    <w:rPr>
      <w:rFonts w:ascii="Consolas" w:hAnsi="Consolas"/>
      <w:sz w:val="20"/>
      <w:szCs w:val="20"/>
    </w:rPr>
  </w:style>
  <w:style w:type="character" w:customStyle="1" w:styleId="20">
    <w:name w:val="Ανεπίλυτη αναφορά2"/>
    <w:basedOn w:val="DefaultParagraphFont"/>
    <w:uiPriority w:val="99"/>
    <w:semiHidden/>
    <w:unhideWhenUsed/>
    <w:rsid w:val="006765CE"/>
    <w:rPr>
      <w:color w:val="808080"/>
      <w:shd w:val="clear" w:color="auto" w:fill="E6E6E6"/>
    </w:rPr>
  </w:style>
  <w:style w:type="character" w:customStyle="1" w:styleId="Heading4Char">
    <w:name w:val="Heading 4 Char"/>
    <w:basedOn w:val="DefaultParagraphFont"/>
    <w:link w:val="Heading4"/>
    <w:uiPriority w:val="9"/>
    <w:rsid w:val="00116652"/>
    <w:rPr>
      <w:rFonts w:asciiTheme="majorHAnsi" w:eastAsiaTheme="majorEastAsia" w:hAnsiTheme="majorHAnsi" w:cstheme="majorBidi"/>
      <w:b/>
      <w:bCs/>
      <w:i/>
      <w:iCs/>
      <w:color w:val="4472C4" w:themeColor="accent1"/>
    </w:rPr>
  </w:style>
  <w:style w:type="paragraph" w:customStyle="1" w:styleId="FooterOdd">
    <w:name w:val="Footer Odd"/>
    <w:basedOn w:val="Normal"/>
    <w:qFormat/>
    <w:rsid w:val="005E52A5"/>
    <w:pPr>
      <w:pBdr>
        <w:top w:val="single" w:sz="4" w:space="1" w:color="4472C4" w:themeColor="accent1"/>
      </w:pBdr>
      <w:spacing w:after="180" w:line="264" w:lineRule="auto"/>
      <w:jc w:val="right"/>
    </w:pPr>
    <w:rPr>
      <w:rFonts w:cs="Times New Roman"/>
      <w:color w:val="44546A" w:themeColor="text2"/>
      <w:sz w:val="20"/>
      <w:szCs w:val="20"/>
      <w:lang w:val="en-US" w:eastAsia="ja-JP"/>
    </w:rPr>
  </w:style>
  <w:style w:type="paragraph" w:customStyle="1" w:styleId="FooterEven">
    <w:name w:val="Footer Even"/>
    <w:basedOn w:val="Normal"/>
    <w:qFormat/>
    <w:rsid w:val="005E52A5"/>
    <w:pPr>
      <w:pBdr>
        <w:top w:val="single" w:sz="4" w:space="1" w:color="4472C4" w:themeColor="accent1"/>
      </w:pBdr>
      <w:spacing w:after="180" w:line="264" w:lineRule="auto"/>
    </w:pPr>
    <w:rPr>
      <w:rFonts w:cs="Times New Roman"/>
      <w:color w:val="44546A" w:themeColor="text2"/>
      <w:sz w:val="20"/>
      <w:szCs w:val="20"/>
      <w:lang w:val="en-US" w:eastAsia="ja-JP"/>
    </w:rPr>
  </w:style>
  <w:style w:type="paragraph" w:customStyle="1" w:styleId="233E5CD5853943F4BD7E8C4B124C0E1D">
    <w:name w:val="233E5CD5853943F4BD7E8C4B124C0E1D"/>
    <w:rsid w:val="006C7B0C"/>
    <w:pPr>
      <w:spacing w:after="200" w:line="276" w:lineRule="auto"/>
    </w:pPr>
    <w:rPr>
      <w:rFonts w:eastAsiaTheme="minorEastAsia"/>
      <w:lang w:eastAsia="el-GR"/>
    </w:rPr>
  </w:style>
  <w:style w:type="paragraph" w:styleId="NoSpacing">
    <w:name w:val="No Spacing"/>
    <w:uiPriority w:val="1"/>
    <w:qFormat/>
    <w:rsid w:val="00067752"/>
    <w:pPr>
      <w:spacing w:after="0" w:line="240" w:lineRule="auto"/>
    </w:pPr>
  </w:style>
  <w:style w:type="character" w:customStyle="1" w:styleId="5">
    <w:name w:val="Αναφορά5"/>
    <w:basedOn w:val="DefaultParagraphFont"/>
    <w:uiPriority w:val="99"/>
    <w:semiHidden/>
    <w:unhideWhenUsed/>
    <w:rsid w:val="00003F86"/>
    <w:rPr>
      <w:color w:val="2B579A"/>
      <w:shd w:val="clear" w:color="auto" w:fill="E6E6E6"/>
    </w:rPr>
  </w:style>
  <w:style w:type="paragraph" w:styleId="Revision">
    <w:name w:val="Revision"/>
    <w:hidden/>
    <w:uiPriority w:val="99"/>
    <w:semiHidden/>
    <w:rsid w:val="00003F86"/>
    <w:pPr>
      <w:spacing w:after="0" w:line="240" w:lineRule="auto"/>
    </w:pPr>
  </w:style>
  <w:style w:type="character" w:customStyle="1" w:styleId="tlid-translation">
    <w:name w:val="tlid-translation"/>
    <w:basedOn w:val="DefaultParagraphFont"/>
    <w:rsid w:val="005901E1"/>
  </w:style>
  <w:style w:type="character" w:customStyle="1" w:styleId="Heading5Char">
    <w:name w:val="Heading 5 Char"/>
    <w:basedOn w:val="DefaultParagraphFont"/>
    <w:link w:val="Heading5"/>
    <w:uiPriority w:val="9"/>
    <w:rsid w:val="009039AD"/>
    <w:rPr>
      <w:rFonts w:asciiTheme="majorHAnsi" w:eastAsiaTheme="majorEastAsia" w:hAnsiTheme="majorHAnsi" w:cstheme="majorBidi"/>
      <w:color w:val="1F3763" w:themeColor="accent1" w:themeShade="7F"/>
    </w:rPr>
  </w:style>
  <w:style w:type="character" w:customStyle="1" w:styleId="30">
    <w:name w:val="Ανεπίλυτη αναφορά3"/>
    <w:basedOn w:val="DefaultParagraphFont"/>
    <w:uiPriority w:val="99"/>
    <w:semiHidden/>
    <w:unhideWhenUsed/>
    <w:rsid w:val="009039AD"/>
    <w:rPr>
      <w:color w:val="605E5C"/>
      <w:shd w:val="clear" w:color="auto" w:fill="E1DFDD"/>
    </w:rPr>
  </w:style>
  <w:style w:type="character" w:customStyle="1" w:styleId="UnresolvedMention1">
    <w:name w:val="Unresolved Mention1"/>
    <w:basedOn w:val="DefaultParagraphFont"/>
    <w:uiPriority w:val="99"/>
    <w:semiHidden/>
    <w:unhideWhenUsed/>
    <w:rsid w:val="006D0908"/>
    <w:rPr>
      <w:color w:val="605E5C"/>
      <w:shd w:val="clear" w:color="auto" w:fill="E1DFDD"/>
    </w:rPr>
  </w:style>
  <w:style w:type="character" w:customStyle="1" w:styleId="31">
    <w:name w:val="Ανεπίλυτη αναφορά31"/>
    <w:basedOn w:val="DefaultParagraphFont"/>
    <w:uiPriority w:val="99"/>
    <w:semiHidden/>
    <w:unhideWhenUsed/>
    <w:rsid w:val="006D0908"/>
    <w:rPr>
      <w:color w:val="605E5C"/>
      <w:shd w:val="clear" w:color="auto" w:fill="E1DFDD"/>
    </w:rPr>
  </w:style>
  <w:style w:type="character" w:customStyle="1" w:styleId="UnresolvedMention2">
    <w:name w:val="Unresolved Mention2"/>
    <w:basedOn w:val="DefaultParagraphFont"/>
    <w:uiPriority w:val="99"/>
    <w:semiHidden/>
    <w:unhideWhenUsed/>
    <w:rsid w:val="001578AA"/>
    <w:rPr>
      <w:color w:val="605E5C"/>
      <w:shd w:val="clear" w:color="auto" w:fill="E1DFDD"/>
    </w:rPr>
  </w:style>
  <w:style w:type="character" w:customStyle="1" w:styleId="40">
    <w:name w:val="Ανεπίλυτη αναφορά4"/>
    <w:basedOn w:val="DefaultParagraphFont"/>
    <w:uiPriority w:val="99"/>
    <w:semiHidden/>
    <w:unhideWhenUsed/>
    <w:rsid w:val="00C25D71"/>
    <w:rPr>
      <w:color w:val="605E5C"/>
      <w:shd w:val="clear" w:color="auto" w:fill="E1DFDD"/>
    </w:rPr>
  </w:style>
  <w:style w:type="character" w:customStyle="1" w:styleId="UnresolvedMention3">
    <w:name w:val="Unresolved Mention3"/>
    <w:basedOn w:val="DefaultParagraphFont"/>
    <w:uiPriority w:val="99"/>
    <w:semiHidden/>
    <w:unhideWhenUsed/>
    <w:rsid w:val="00C257E0"/>
    <w:rPr>
      <w:color w:val="605E5C"/>
      <w:shd w:val="clear" w:color="auto" w:fill="E1DFDD"/>
    </w:rPr>
  </w:style>
  <w:style w:type="character" w:customStyle="1" w:styleId="Hyperlink1">
    <w:name w:val="Hyperlink1"/>
    <w:basedOn w:val="DefaultParagraphFont"/>
    <w:uiPriority w:val="99"/>
    <w:unhideWhenUsed/>
    <w:rsid w:val="00115382"/>
    <w:rPr>
      <w:color w:val="0563C1"/>
      <w:u w:val="single"/>
    </w:rPr>
  </w:style>
  <w:style w:type="paragraph" w:customStyle="1" w:styleId="CommentText1">
    <w:name w:val="Comment Text1"/>
    <w:basedOn w:val="Normal"/>
    <w:next w:val="CommentText"/>
    <w:link w:val="CommentTextChar"/>
    <w:uiPriority w:val="99"/>
    <w:unhideWhenUsed/>
    <w:rsid w:val="00115382"/>
    <w:pPr>
      <w:spacing w:line="240" w:lineRule="auto"/>
    </w:pPr>
    <w:rPr>
      <w:sz w:val="20"/>
      <w:szCs w:val="20"/>
      <w:lang w:val="en-US" w:bidi="he-IL"/>
    </w:rPr>
  </w:style>
  <w:style w:type="character" w:customStyle="1" w:styleId="CommentTextChar">
    <w:name w:val="Comment Text Char"/>
    <w:basedOn w:val="DefaultParagraphFont"/>
    <w:link w:val="CommentText1"/>
    <w:uiPriority w:val="99"/>
    <w:rsid w:val="00115382"/>
    <w:rPr>
      <w:sz w:val="20"/>
      <w:szCs w:val="20"/>
      <w:lang w:val="en-US" w:bidi="he-IL"/>
    </w:rPr>
  </w:style>
  <w:style w:type="character" w:customStyle="1" w:styleId="50">
    <w:name w:val="Ανεπίλυτη αναφορά5"/>
    <w:basedOn w:val="DefaultParagraphFont"/>
    <w:uiPriority w:val="99"/>
    <w:semiHidden/>
    <w:unhideWhenUsed/>
    <w:rsid w:val="00D87F9E"/>
    <w:rPr>
      <w:color w:val="605E5C"/>
      <w:shd w:val="clear" w:color="auto" w:fill="E1DFDD"/>
    </w:rPr>
  </w:style>
  <w:style w:type="character" w:customStyle="1" w:styleId="6">
    <w:name w:val="Ανεπίλυτη αναφορά6"/>
    <w:basedOn w:val="DefaultParagraphFont"/>
    <w:uiPriority w:val="99"/>
    <w:semiHidden/>
    <w:unhideWhenUsed/>
    <w:rsid w:val="006B18B0"/>
    <w:rPr>
      <w:color w:val="605E5C"/>
      <w:shd w:val="clear" w:color="auto" w:fill="E1DFDD"/>
    </w:rPr>
  </w:style>
  <w:style w:type="character" w:customStyle="1" w:styleId="7">
    <w:name w:val="Ανεπίλυτη αναφορά7"/>
    <w:basedOn w:val="DefaultParagraphFont"/>
    <w:uiPriority w:val="99"/>
    <w:semiHidden/>
    <w:unhideWhenUsed/>
    <w:rsid w:val="00F51B89"/>
    <w:rPr>
      <w:color w:val="605E5C"/>
      <w:shd w:val="clear" w:color="auto" w:fill="E1DFDD"/>
    </w:rPr>
  </w:style>
  <w:style w:type="character" w:customStyle="1" w:styleId="8">
    <w:name w:val="Ανεπίλυτη αναφορά8"/>
    <w:basedOn w:val="DefaultParagraphFont"/>
    <w:uiPriority w:val="99"/>
    <w:semiHidden/>
    <w:unhideWhenUsed/>
    <w:rsid w:val="00283CC6"/>
    <w:rPr>
      <w:color w:val="605E5C"/>
      <w:shd w:val="clear" w:color="auto" w:fill="E1DFDD"/>
    </w:rPr>
  </w:style>
  <w:style w:type="character" w:customStyle="1" w:styleId="9">
    <w:name w:val="Ανεπίλυτη αναφορά9"/>
    <w:basedOn w:val="DefaultParagraphFont"/>
    <w:uiPriority w:val="99"/>
    <w:semiHidden/>
    <w:unhideWhenUsed/>
    <w:rsid w:val="007A50E0"/>
    <w:rPr>
      <w:color w:val="605E5C"/>
      <w:shd w:val="clear" w:color="auto" w:fill="E1DFDD"/>
    </w:rPr>
  </w:style>
  <w:style w:type="character" w:customStyle="1" w:styleId="100">
    <w:name w:val="Ανεπίλυτη αναφορά10"/>
    <w:basedOn w:val="DefaultParagraphFont"/>
    <w:uiPriority w:val="99"/>
    <w:semiHidden/>
    <w:unhideWhenUsed/>
    <w:rsid w:val="00833D70"/>
    <w:rPr>
      <w:color w:val="605E5C"/>
      <w:shd w:val="clear" w:color="auto" w:fill="E1DFDD"/>
    </w:rPr>
  </w:style>
  <w:style w:type="character" w:customStyle="1" w:styleId="11">
    <w:name w:val="Ανεπίλυτη αναφορά11"/>
    <w:basedOn w:val="DefaultParagraphFont"/>
    <w:uiPriority w:val="99"/>
    <w:semiHidden/>
    <w:unhideWhenUsed/>
    <w:rsid w:val="00671721"/>
    <w:rPr>
      <w:color w:val="605E5C"/>
      <w:shd w:val="clear" w:color="auto" w:fill="E1DFDD"/>
    </w:rPr>
  </w:style>
  <w:style w:type="character" w:customStyle="1" w:styleId="UnresolvedMention4">
    <w:name w:val="Unresolved Mention4"/>
    <w:basedOn w:val="DefaultParagraphFont"/>
    <w:uiPriority w:val="99"/>
    <w:semiHidden/>
    <w:unhideWhenUsed/>
    <w:rsid w:val="00981D2C"/>
    <w:rPr>
      <w:color w:val="605E5C"/>
      <w:shd w:val="clear" w:color="auto" w:fill="E1DFDD"/>
    </w:rPr>
  </w:style>
  <w:style w:type="character" w:styleId="LineNumber">
    <w:name w:val="line number"/>
    <w:basedOn w:val="DefaultParagraphFont"/>
    <w:uiPriority w:val="99"/>
    <w:semiHidden/>
    <w:unhideWhenUsed/>
    <w:rsid w:val="00176B2A"/>
  </w:style>
  <w:style w:type="character" w:customStyle="1" w:styleId="12">
    <w:name w:val="Ανεπίλυτη αναφορά12"/>
    <w:basedOn w:val="DefaultParagraphFont"/>
    <w:uiPriority w:val="99"/>
    <w:semiHidden/>
    <w:unhideWhenUsed/>
    <w:rsid w:val="00DC2950"/>
    <w:rPr>
      <w:color w:val="605E5C"/>
      <w:shd w:val="clear" w:color="auto" w:fill="E1DFDD"/>
    </w:rPr>
  </w:style>
  <w:style w:type="character" w:styleId="Strong">
    <w:name w:val="Strong"/>
    <w:basedOn w:val="DefaultParagraphFont"/>
    <w:uiPriority w:val="22"/>
    <w:qFormat/>
    <w:rsid w:val="000C0B0C"/>
    <w:rPr>
      <w:b/>
      <w:bCs/>
    </w:rPr>
  </w:style>
  <w:style w:type="character" w:customStyle="1" w:styleId="13">
    <w:name w:val="Ανεπίλυτη αναφορά13"/>
    <w:basedOn w:val="DefaultParagraphFont"/>
    <w:uiPriority w:val="99"/>
    <w:semiHidden/>
    <w:unhideWhenUsed/>
    <w:rsid w:val="005959F9"/>
    <w:rPr>
      <w:color w:val="605E5C"/>
      <w:shd w:val="clear" w:color="auto" w:fill="E1DFDD"/>
    </w:rPr>
  </w:style>
  <w:style w:type="character" w:customStyle="1" w:styleId="Heading6Char">
    <w:name w:val="Heading 6 Char"/>
    <w:basedOn w:val="DefaultParagraphFont"/>
    <w:link w:val="Heading6"/>
    <w:uiPriority w:val="9"/>
    <w:rsid w:val="004209C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209C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209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209C8"/>
    <w:rPr>
      <w:rFonts w:asciiTheme="majorHAnsi" w:eastAsiaTheme="majorEastAsia" w:hAnsiTheme="majorHAnsi" w:cstheme="majorBidi"/>
      <w:i/>
      <w:iCs/>
      <w:color w:val="272727" w:themeColor="text1" w:themeTint="D8"/>
      <w:sz w:val="21"/>
      <w:szCs w:val="21"/>
    </w:rPr>
  </w:style>
  <w:style w:type="character" w:customStyle="1" w:styleId="14">
    <w:name w:val="Ανεπίλυτη αναφορά14"/>
    <w:basedOn w:val="DefaultParagraphFont"/>
    <w:uiPriority w:val="99"/>
    <w:semiHidden/>
    <w:unhideWhenUsed/>
    <w:rsid w:val="000A4A92"/>
    <w:rPr>
      <w:color w:val="605E5C"/>
      <w:shd w:val="clear" w:color="auto" w:fill="E1DFDD"/>
    </w:rPr>
  </w:style>
  <w:style w:type="character" w:customStyle="1" w:styleId="15">
    <w:name w:val="Ανεπίλυτη αναφορά15"/>
    <w:basedOn w:val="DefaultParagraphFont"/>
    <w:uiPriority w:val="99"/>
    <w:semiHidden/>
    <w:unhideWhenUsed/>
    <w:rsid w:val="00967B45"/>
    <w:rPr>
      <w:color w:val="605E5C"/>
      <w:shd w:val="clear" w:color="auto" w:fill="E1DFDD"/>
    </w:rPr>
  </w:style>
  <w:style w:type="character" w:customStyle="1" w:styleId="16">
    <w:name w:val="Ανεπίλυτη αναφορά16"/>
    <w:basedOn w:val="DefaultParagraphFont"/>
    <w:uiPriority w:val="99"/>
    <w:semiHidden/>
    <w:unhideWhenUsed/>
    <w:rsid w:val="00AD6692"/>
    <w:rPr>
      <w:color w:val="605E5C"/>
      <w:shd w:val="clear" w:color="auto" w:fill="E1DFDD"/>
    </w:rPr>
  </w:style>
  <w:style w:type="character" w:customStyle="1" w:styleId="17">
    <w:name w:val="Ανεπίλυτη αναφορά17"/>
    <w:basedOn w:val="DefaultParagraphFont"/>
    <w:uiPriority w:val="99"/>
    <w:semiHidden/>
    <w:unhideWhenUsed/>
    <w:rsid w:val="00691607"/>
    <w:rPr>
      <w:color w:val="605E5C"/>
      <w:shd w:val="clear" w:color="auto" w:fill="E1DFDD"/>
    </w:rPr>
  </w:style>
  <w:style w:type="character" w:customStyle="1" w:styleId="18">
    <w:name w:val="Ανεπίλυτη αναφορά18"/>
    <w:basedOn w:val="DefaultParagraphFont"/>
    <w:uiPriority w:val="99"/>
    <w:semiHidden/>
    <w:unhideWhenUsed/>
    <w:rsid w:val="001C5A9C"/>
    <w:rPr>
      <w:color w:val="605E5C"/>
      <w:shd w:val="clear" w:color="auto" w:fill="E1DFDD"/>
    </w:rPr>
  </w:style>
  <w:style w:type="character" w:customStyle="1" w:styleId="UnresolvedMention5">
    <w:name w:val="Unresolved Mention5"/>
    <w:basedOn w:val="DefaultParagraphFont"/>
    <w:uiPriority w:val="99"/>
    <w:semiHidden/>
    <w:unhideWhenUsed/>
    <w:rsid w:val="00012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2580">
      <w:bodyDiv w:val="1"/>
      <w:marLeft w:val="0"/>
      <w:marRight w:val="0"/>
      <w:marTop w:val="0"/>
      <w:marBottom w:val="0"/>
      <w:divBdr>
        <w:top w:val="none" w:sz="0" w:space="0" w:color="auto"/>
        <w:left w:val="none" w:sz="0" w:space="0" w:color="auto"/>
        <w:bottom w:val="none" w:sz="0" w:space="0" w:color="auto"/>
        <w:right w:val="none" w:sz="0" w:space="0" w:color="auto"/>
      </w:divBdr>
    </w:div>
    <w:div w:id="133643072">
      <w:bodyDiv w:val="1"/>
      <w:marLeft w:val="0"/>
      <w:marRight w:val="0"/>
      <w:marTop w:val="0"/>
      <w:marBottom w:val="0"/>
      <w:divBdr>
        <w:top w:val="none" w:sz="0" w:space="0" w:color="auto"/>
        <w:left w:val="none" w:sz="0" w:space="0" w:color="auto"/>
        <w:bottom w:val="none" w:sz="0" w:space="0" w:color="auto"/>
        <w:right w:val="none" w:sz="0" w:space="0" w:color="auto"/>
      </w:divBdr>
    </w:div>
    <w:div w:id="141653347">
      <w:bodyDiv w:val="1"/>
      <w:marLeft w:val="0"/>
      <w:marRight w:val="0"/>
      <w:marTop w:val="0"/>
      <w:marBottom w:val="0"/>
      <w:divBdr>
        <w:top w:val="none" w:sz="0" w:space="0" w:color="auto"/>
        <w:left w:val="none" w:sz="0" w:space="0" w:color="auto"/>
        <w:bottom w:val="none" w:sz="0" w:space="0" w:color="auto"/>
        <w:right w:val="none" w:sz="0" w:space="0" w:color="auto"/>
      </w:divBdr>
    </w:div>
    <w:div w:id="183986342">
      <w:bodyDiv w:val="1"/>
      <w:marLeft w:val="0"/>
      <w:marRight w:val="0"/>
      <w:marTop w:val="0"/>
      <w:marBottom w:val="0"/>
      <w:divBdr>
        <w:top w:val="none" w:sz="0" w:space="0" w:color="auto"/>
        <w:left w:val="none" w:sz="0" w:space="0" w:color="auto"/>
        <w:bottom w:val="none" w:sz="0" w:space="0" w:color="auto"/>
        <w:right w:val="none" w:sz="0" w:space="0" w:color="auto"/>
      </w:divBdr>
    </w:div>
    <w:div w:id="234946966">
      <w:bodyDiv w:val="1"/>
      <w:marLeft w:val="0"/>
      <w:marRight w:val="0"/>
      <w:marTop w:val="0"/>
      <w:marBottom w:val="0"/>
      <w:divBdr>
        <w:top w:val="none" w:sz="0" w:space="0" w:color="auto"/>
        <w:left w:val="none" w:sz="0" w:space="0" w:color="auto"/>
        <w:bottom w:val="none" w:sz="0" w:space="0" w:color="auto"/>
        <w:right w:val="none" w:sz="0" w:space="0" w:color="auto"/>
      </w:divBdr>
    </w:div>
    <w:div w:id="257064783">
      <w:bodyDiv w:val="1"/>
      <w:marLeft w:val="0"/>
      <w:marRight w:val="0"/>
      <w:marTop w:val="0"/>
      <w:marBottom w:val="0"/>
      <w:divBdr>
        <w:top w:val="none" w:sz="0" w:space="0" w:color="auto"/>
        <w:left w:val="none" w:sz="0" w:space="0" w:color="auto"/>
        <w:bottom w:val="none" w:sz="0" w:space="0" w:color="auto"/>
        <w:right w:val="none" w:sz="0" w:space="0" w:color="auto"/>
      </w:divBdr>
    </w:div>
    <w:div w:id="308705116">
      <w:bodyDiv w:val="1"/>
      <w:marLeft w:val="0"/>
      <w:marRight w:val="0"/>
      <w:marTop w:val="0"/>
      <w:marBottom w:val="0"/>
      <w:divBdr>
        <w:top w:val="none" w:sz="0" w:space="0" w:color="auto"/>
        <w:left w:val="none" w:sz="0" w:space="0" w:color="auto"/>
        <w:bottom w:val="none" w:sz="0" w:space="0" w:color="auto"/>
        <w:right w:val="none" w:sz="0" w:space="0" w:color="auto"/>
      </w:divBdr>
    </w:div>
    <w:div w:id="344670154">
      <w:bodyDiv w:val="1"/>
      <w:marLeft w:val="0"/>
      <w:marRight w:val="0"/>
      <w:marTop w:val="0"/>
      <w:marBottom w:val="0"/>
      <w:divBdr>
        <w:top w:val="none" w:sz="0" w:space="0" w:color="auto"/>
        <w:left w:val="none" w:sz="0" w:space="0" w:color="auto"/>
        <w:bottom w:val="none" w:sz="0" w:space="0" w:color="auto"/>
        <w:right w:val="none" w:sz="0" w:space="0" w:color="auto"/>
      </w:divBdr>
    </w:div>
    <w:div w:id="345794476">
      <w:bodyDiv w:val="1"/>
      <w:marLeft w:val="0"/>
      <w:marRight w:val="0"/>
      <w:marTop w:val="0"/>
      <w:marBottom w:val="0"/>
      <w:divBdr>
        <w:top w:val="none" w:sz="0" w:space="0" w:color="auto"/>
        <w:left w:val="none" w:sz="0" w:space="0" w:color="auto"/>
        <w:bottom w:val="none" w:sz="0" w:space="0" w:color="auto"/>
        <w:right w:val="none" w:sz="0" w:space="0" w:color="auto"/>
      </w:divBdr>
    </w:div>
    <w:div w:id="371273439">
      <w:bodyDiv w:val="1"/>
      <w:marLeft w:val="0"/>
      <w:marRight w:val="0"/>
      <w:marTop w:val="0"/>
      <w:marBottom w:val="0"/>
      <w:divBdr>
        <w:top w:val="none" w:sz="0" w:space="0" w:color="auto"/>
        <w:left w:val="none" w:sz="0" w:space="0" w:color="auto"/>
        <w:bottom w:val="none" w:sz="0" w:space="0" w:color="auto"/>
        <w:right w:val="none" w:sz="0" w:space="0" w:color="auto"/>
      </w:divBdr>
    </w:div>
    <w:div w:id="439372570">
      <w:bodyDiv w:val="1"/>
      <w:marLeft w:val="0"/>
      <w:marRight w:val="0"/>
      <w:marTop w:val="0"/>
      <w:marBottom w:val="0"/>
      <w:divBdr>
        <w:top w:val="none" w:sz="0" w:space="0" w:color="auto"/>
        <w:left w:val="none" w:sz="0" w:space="0" w:color="auto"/>
        <w:bottom w:val="none" w:sz="0" w:space="0" w:color="auto"/>
        <w:right w:val="none" w:sz="0" w:space="0" w:color="auto"/>
      </w:divBdr>
    </w:div>
    <w:div w:id="464588780">
      <w:bodyDiv w:val="1"/>
      <w:marLeft w:val="0"/>
      <w:marRight w:val="0"/>
      <w:marTop w:val="0"/>
      <w:marBottom w:val="0"/>
      <w:divBdr>
        <w:top w:val="none" w:sz="0" w:space="0" w:color="auto"/>
        <w:left w:val="none" w:sz="0" w:space="0" w:color="auto"/>
        <w:bottom w:val="none" w:sz="0" w:space="0" w:color="auto"/>
        <w:right w:val="none" w:sz="0" w:space="0" w:color="auto"/>
      </w:divBdr>
    </w:div>
    <w:div w:id="464663181">
      <w:bodyDiv w:val="1"/>
      <w:marLeft w:val="0"/>
      <w:marRight w:val="0"/>
      <w:marTop w:val="0"/>
      <w:marBottom w:val="0"/>
      <w:divBdr>
        <w:top w:val="none" w:sz="0" w:space="0" w:color="auto"/>
        <w:left w:val="none" w:sz="0" w:space="0" w:color="auto"/>
        <w:bottom w:val="none" w:sz="0" w:space="0" w:color="auto"/>
        <w:right w:val="none" w:sz="0" w:space="0" w:color="auto"/>
      </w:divBdr>
    </w:div>
    <w:div w:id="495997045">
      <w:bodyDiv w:val="1"/>
      <w:marLeft w:val="0"/>
      <w:marRight w:val="0"/>
      <w:marTop w:val="0"/>
      <w:marBottom w:val="0"/>
      <w:divBdr>
        <w:top w:val="none" w:sz="0" w:space="0" w:color="auto"/>
        <w:left w:val="none" w:sz="0" w:space="0" w:color="auto"/>
        <w:bottom w:val="none" w:sz="0" w:space="0" w:color="auto"/>
        <w:right w:val="none" w:sz="0" w:space="0" w:color="auto"/>
      </w:divBdr>
    </w:div>
    <w:div w:id="503977431">
      <w:bodyDiv w:val="1"/>
      <w:marLeft w:val="0"/>
      <w:marRight w:val="0"/>
      <w:marTop w:val="0"/>
      <w:marBottom w:val="0"/>
      <w:divBdr>
        <w:top w:val="none" w:sz="0" w:space="0" w:color="auto"/>
        <w:left w:val="none" w:sz="0" w:space="0" w:color="auto"/>
        <w:bottom w:val="none" w:sz="0" w:space="0" w:color="auto"/>
        <w:right w:val="none" w:sz="0" w:space="0" w:color="auto"/>
      </w:divBdr>
    </w:div>
    <w:div w:id="506288545">
      <w:bodyDiv w:val="1"/>
      <w:marLeft w:val="0"/>
      <w:marRight w:val="0"/>
      <w:marTop w:val="0"/>
      <w:marBottom w:val="0"/>
      <w:divBdr>
        <w:top w:val="none" w:sz="0" w:space="0" w:color="auto"/>
        <w:left w:val="none" w:sz="0" w:space="0" w:color="auto"/>
        <w:bottom w:val="none" w:sz="0" w:space="0" w:color="auto"/>
        <w:right w:val="none" w:sz="0" w:space="0" w:color="auto"/>
      </w:divBdr>
    </w:div>
    <w:div w:id="509638228">
      <w:bodyDiv w:val="1"/>
      <w:marLeft w:val="0"/>
      <w:marRight w:val="0"/>
      <w:marTop w:val="0"/>
      <w:marBottom w:val="0"/>
      <w:divBdr>
        <w:top w:val="none" w:sz="0" w:space="0" w:color="auto"/>
        <w:left w:val="none" w:sz="0" w:space="0" w:color="auto"/>
        <w:bottom w:val="none" w:sz="0" w:space="0" w:color="auto"/>
        <w:right w:val="none" w:sz="0" w:space="0" w:color="auto"/>
      </w:divBdr>
    </w:div>
    <w:div w:id="527452787">
      <w:bodyDiv w:val="1"/>
      <w:marLeft w:val="0"/>
      <w:marRight w:val="0"/>
      <w:marTop w:val="0"/>
      <w:marBottom w:val="0"/>
      <w:divBdr>
        <w:top w:val="none" w:sz="0" w:space="0" w:color="auto"/>
        <w:left w:val="none" w:sz="0" w:space="0" w:color="auto"/>
        <w:bottom w:val="none" w:sz="0" w:space="0" w:color="auto"/>
        <w:right w:val="none" w:sz="0" w:space="0" w:color="auto"/>
      </w:divBdr>
    </w:div>
    <w:div w:id="550382531">
      <w:bodyDiv w:val="1"/>
      <w:marLeft w:val="0"/>
      <w:marRight w:val="0"/>
      <w:marTop w:val="0"/>
      <w:marBottom w:val="0"/>
      <w:divBdr>
        <w:top w:val="none" w:sz="0" w:space="0" w:color="auto"/>
        <w:left w:val="none" w:sz="0" w:space="0" w:color="auto"/>
        <w:bottom w:val="none" w:sz="0" w:space="0" w:color="auto"/>
        <w:right w:val="none" w:sz="0" w:space="0" w:color="auto"/>
      </w:divBdr>
    </w:div>
    <w:div w:id="582302474">
      <w:bodyDiv w:val="1"/>
      <w:marLeft w:val="0"/>
      <w:marRight w:val="0"/>
      <w:marTop w:val="0"/>
      <w:marBottom w:val="0"/>
      <w:divBdr>
        <w:top w:val="none" w:sz="0" w:space="0" w:color="auto"/>
        <w:left w:val="none" w:sz="0" w:space="0" w:color="auto"/>
        <w:bottom w:val="none" w:sz="0" w:space="0" w:color="auto"/>
        <w:right w:val="none" w:sz="0" w:space="0" w:color="auto"/>
      </w:divBdr>
      <w:divsChild>
        <w:div w:id="1352492769">
          <w:marLeft w:val="0"/>
          <w:marRight w:val="0"/>
          <w:marTop w:val="0"/>
          <w:marBottom w:val="240"/>
          <w:divBdr>
            <w:top w:val="none" w:sz="0" w:space="0" w:color="auto"/>
            <w:left w:val="none" w:sz="0" w:space="0" w:color="auto"/>
            <w:bottom w:val="single" w:sz="6" w:space="0" w:color="C8C9CA"/>
            <w:right w:val="none" w:sz="0" w:space="0" w:color="auto"/>
          </w:divBdr>
        </w:div>
      </w:divsChild>
    </w:div>
    <w:div w:id="641886963">
      <w:bodyDiv w:val="1"/>
      <w:marLeft w:val="0"/>
      <w:marRight w:val="0"/>
      <w:marTop w:val="0"/>
      <w:marBottom w:val="0"/>
      <w:divBdr>
        <w:top w:val="none" w:sz="0" w:space="0" w:color="auto"/>
        <w:left w:val="none" w:sz="0" w:space="0" w:color="auto"/>
        <w:bottom w:val="none" w:sz="0" w:space="0" w:color="auto"/>
        <w:right w:val="none" w:sz="0" w:space="0" w:color="auto"/>
      </w:divBdr>
    </w:div>
    <w:div w:id="685911179">
      <w:bodyDiv w:val="1"/>
      <w:marLeft w:val="0"/>
      <w:marRight w:val="0"/>
      <w:marTop w:val="0"/>
      <w:marBottom w:val="0"/>
      <w:divBdr>
        <w:top w:val="none" w:sz="0" w:space="0" w:color="auto"/>
        <w:left w:val="none" w:sz="0" w:space="0" w:color="auto"/>
        <w:bottom w:val="none" w:sz="0" w:space="0" w:color="auto"/>
        <w:right w:val="none" w:sz="0" w:space="0" w:color="auto"/>
      </w:divBdr>
    </w:div>
    <w:div w:id="693261936">
      <w:bodyDiv w:val="1"/>
      <w:marLeft w:val="0"/>
      <w:marRight w:val="0"/>
      <w:marTop w:val="0"/>
      <w:marBottom w:val="0"/>
      <w:divBdr>
        <w:top w:val="none" w:sz="0" w:space="0" w:color="auto"/>
        <w:left w:val="none" w:sz="0" w:space="0" w:color="auto"/>
        <w:bottom w:val="none" w:sz="0" w:space="0" w:color="auto"/>
        <w:right w:val="none" w:sz="0" w:space="0" w:color="auto"/>
      </w:divBdr>
    </w:div>
    <w:div w:id="752551553">
      <w:bodyDiv w:val="1"/>
      <w:marLeft w:val="0"/>
      <w:marRight w:val="0"/>
      <w:marTop w:val="0"/>
      <w:marBottom w:val="0"/>
      <w:divBdr>
        <w:top w:val="none" w:sz="0" w:space="0" w:color="auto"/>
        <w:left w:val="none" w:sz="0" w:space="0" w:color="auto"/>
        <w:bottom w:val="none" w:sz="0" w:space="0" w:color="auto"/>
        <w:right w:val="none" w:sz="0" w:space="0" w:color="auto"/>
      </w:divBdr>
    </w:div>
    <w:div w:id="792332131">
      <w:bodyDiv w:val="1"/>
      <w:marLeft w:val="0"/>
      <w:marRight w:val="0"/>
      <w:marTop w:val="0"/>
      <w:marBottom w:val="0"/>
      <w:divBdr>
        <w:top w:val="none" w:sz="0" w:space="0" w:color="auto"/>
        <w:left w:val="none" w:sz="0" w:space="0" w:color="auto"/>
        <w:bottom w:val="none" w:sz="0" w:space="0" w:color="auto"/>
        <w:right w:val="none" w:sz="0" w:space="0" w:color="auto"/>
      </w:divBdr>
    </w:div>
    <w:div w:id="837620738">
      <w:bodyDiv w:val="1"/>
      <w:marLeft w:val="0"/>
      <w:marRight w:val="0"/>
      <w:marTop w:val="0"/>
      <w:marBottom w:val="0"/>
      <w:divBdr>
        <w:top w:val="none" w:sz="0" w:space="0" w:color="auto"/>
        <w:left w:val="none" w:sz="0" w:space="0" w:color="auto"/>
        <w:bottom w:val="none" w:sz="0" w:space="0" w:color="auto"/>
        <w:right w:val="none" w:sz="0" w:space="0" w:color="auto"/>
      </w:divBdr>
    </w:div>
    <w:div w:id="841236578">
      <w:bodyDiv w:val="1"/>
      <w:marLeft w:val="0"/>
      <w:marRight w:val="0"/>
      <w:marTop w:val="0"/>
      <w:marBottom w:val="0"/>
      <w:divBdr>
        <w:top w:val="none" w:sz="0" w:space="0" w:color="auto"/>
        <w:left w:val="none" w:sz="0" w:space="0" w:color="auto"/>
        <w:bottom w:val="none" w:sz="0" w:space="0" w:color="auto"/>
        <w:right w:val="none" w:sz="0" w:space="0" w:color="auto"/>
      </w:divBdr>
    </w:div>
    <w:div w:id="854853033">
      <w:bodyDiv w:val="1"/>
      <w:marLeft w:val="0"/>
      <w:marRight w:val="0"/>
      <w:marTop w:val="0"/>
      <w:marBottom w:val="0"/>
      <w:divBdr>
        <w:top w:val="none" w:sz="0" w:space="0" w:color="auto"/>
        <w:left w:val="none" w:sz="0" w:space="0" w:color="auto"/>
        <w:bottom w:val="none" w:sz="0" w:space="0" w:color="auto"/>
        <w:right w:val="none" w:sz="0" w:space="0" w:color="auto"/>
      </w:divBdr>
    </w:div>
    <w:div w:id="905997044">
      <w:bodyDiv w:val="1"/>
      <w:marLeft w:val="0"/>
      <w:marRight w:val="0"/>
      <w:marTop w:val="0"/>
      <w:marBottom w:val="0"/>
      <w:divBdr>
        <w:top w:val="none" w:sz="0" w:space="0" w:color="auto"/>
        <w:left w:val="none" w:sz="0" w:space="0" w:color="auto"/>
        <w:bottom w:val="none" w:sz="0" w:space="0" w:color="auto"/>
        <w:right w:val="none" w:sz="0" w:space="0" w:color="auto"/>
      </w:divBdr>
    </w:div>
    <w:div w:id="927036491">
      <w:bodyDiv w:val="1"/>
      <w:marLeft w:val="0"/>
      <w:marRight w:val="0"/>
      <w:marTop w:val="0"/>
      <w:marBottom w:val="0"/>
      <w:divBdr>
        <w:top w:val="none" w:sz="0" w:space="0" w:color="auto"/>
        <w:left w:val="none" w:sz="0" w:space="0" w:color="auto"/>
        <w:bottom w:val="none" w:sz="0" w:space="0" w:color="auto"/>
        <w:right w:val="none" w:sz="0" w:space="0" w:color="auto"/>
      </w:divBdr>
    </w:div>
    <w:div w:id="934358987">
      <w:bodyDiv w:val="1"/>
      <w:marLeft w:val="0"/>
      <w:marRight w:val="0"/>
      <w:marTop w:val="0"/>
      <w:marBottom w:val="0"/>
      <w:divBdr>
        <w:top w:val="none" w:sz="0" w:space="0" w:color="auto"/>
        <w:left w:val="none" w:sz="0" w:space="0" w:color="auto"/>
        <w:bottom w:val="none" w:sz="0" w:space="0" w:color="auto"/>
        <w:right w:val="none" w:sz="0" w:space="0" w:color="auto"/>
      </w:divBdr>
    </w:div>
    <w:div w:id="1038747957">
      <w:bodyDiv w:val="1"/>
      <w:marLeft w:val="0"/>
      <w:marRight w:val="0"/>
      <w:marTop w:val="0"/>
      <w:marBottom w:val="0"/>
      <w:divBdr>
        <w:top w:val="none" w:sz="0" w:space="0" w:color="auto"/>
        <w:left w:val="none" w:sz="0" w:space="0" w:color="auto"/>
        <w:bottom w:val="none" w:sz="0" w:space="0" w:color="auto"/>
        <w:right w:val="none" w:sz="0" w:space="0" w:color="auto"/>
      </w:divBdr>
    </w:div>
    <w:div w:id="1072002640">
      <w:bodyDiv w:val="1"/>
      <w:marLeft w:val="0"/>
      <w:marRight w:val="0"/>
      <w:marTop w:val="0"/>
      <w:marBottom w:val="0"/>
      <w:divBdr>
        <w:top w:val="none" w:sz="0" w:space="0" w:color="auto"/>
        <w:left w:val="none" w:sz="0" w:space="0" w:color="auto"/>
        <w:bottom w:val="none" w:sz="0" w:space="0" w:color="auto"/>
        <w:right w:val="none" w:sz="0" w:space="0" w:color="auto"/>
      </w:divBdr>
    </w:div>
    <w:div w:id="1118371898">
      <w:bodyDiv w:val="1"/>
      <w:marLeft w:val="0"/>
      <w:marRight w:val="0"/>
      <w:marTop w:val="0"/>
      <w:marBottom w:val="0"/>
      <w:divBdr>
        <w:top w:val="none" w:sz="0" w:space="0" w:color="auto"/>
        <w:left w:val="none" w:sz="0" w:space="0" w:color="auto"/>
        <w:bottom w:val="none" w:sz="0" w:space="0" w:color="auto"/>
        <w:right w:val="none" w:sz="0" w:space="0" w:color="auto"/>
      </w:divBdr>
    </w:div>
    <w:div w:id="1163205204">
      <w:bodyDiv w:val="1"/>
      <w:marLeft w:val="0"/>
      <w:marRight w:val="0"/>
      <w:marTop w:val="0"/>
      <w:marBottom w:val="0"/>
      <w:divBdr>
        <w:top w:val="none" w:sz="0" w:space="0" w:color="auto"/>
        <w:left w:val="none" w:sz="0" w:space="0" w:color="auto"/>
        <w:bottom w:val="none" w:sz="0" w:space="0" w:color="auto"/>
        <w:right w:val="none" w:sz="0" w:space="0" w:color="auto"/>
      </w:divBdr>
    </w:div>
    <w:div w:id="1260992789">
      <w:bodyDiv w:val="1"/>
      <w:marLeft w:val="0"/>
      <w:marRight w:val="0"/>
      <w:marTop w:val="0"/>
      <w:marBottom w:val="0"/>
      <w:divBdr>
        <w:top w:val="none" w:sz="0" w:space="0" w:color="auto"/>
        <w:left w:val="none" w:sz="0" w:space="0" w:color="auto"/>
        <w:bottom w:val="none" w:sz="0" w:space="0" w:color="auto"/>
        <w:right w:val="none" w:sz="0" w:space="0" w:color="auto"/>
      </w:divBdr>
    </w:div>
    <w:div w:id="1274899695">
      <w:bodyDiv w:val="1"/>
      <w:marLeft w:val="0"/>
      <w:marRight w:val="0"/>
      <w:marTop w:val="0"/>
      <w:marBottom w:val="0"/>
      <w:divBdr>
        <w:top w:val="none" w:sz="0" w:space="0" w:color="auto"/>
        <w:left w:val="none" w:sz="0" w:space="0" w:color="auto"/>
        <w:bottom w:val="none" w:sz="0" w:space="0" w:color="auto"/>
        <w:right w:val="none" w:sz="0" w:space="0" w:color="auto"/>
      </w:divBdr>
    </w:div>
    <w:div w:id="1276597356">
      <w:bodyDiv w:val="1"/>
      <w:marLeft w:val="0"/>
      <w:marRight w:val="0"/>
      <w:marTop w:val="0"/>
      <w:marBottom w:val="0"/>
      <w:divBdr>
        <w:top w:val="none" w:sz="0" w:space="0" w:color="auto"/>
        <w:left w:val="none" w:sz="0" w:space="0" w:color="auto"/>
        <w:bottom w:val="none" w:sz="0" w:space="0" w:color="auto"/>
        <w:right w:val="none" w:sz="0" w:space="0" w:color="auto"/>
      </w:divBdr>
    </w:div>
    <w:div w:id="1368287368">
      <w:bodyDiv w:val="1"/>
      <w:marLeft w:val="0"/>
      <w:marRight w:val="0"/>
      <w:marTop w:val="0"/>
      <w:marBottom w:val="0"/>
      <w:divBdr>
        <w:top w:val="none" w:sz="0" w:space="0" w:color="auto"/>
        <w:left w:val="none" w:sz="0" w:space="0" w:color="auto"/>
        <w:bottom w:val="none" w:sz="0" w:space="0" w:color="auto"/>
        <w:right w:val="none" w:sz="0" w:space="0" w:color="auto"/>
      </w:divBdr>
    </w:div>
    <w:div w:id="1408190464">
      <w:bodyDiv w:val="1"/>
      <w:marLeft w:val="0"/>
      <w:marRight w:val="0"/>
      <w:marTop w:val="0"/>
      <w:marBottom w:val="0"/>
      <w:divBdr>
        <w:top w:val="none" w:sz="0" w:space="0" w:color="auto"/>
        <w:left w:val="none" w:sz="0" w:space="0" w:color="auto"/>
        <w:bottom w:val="none" w:sz="0" w:space="0" w:color="auto"/>
        <w:right w:val="none" w:sz="0" w:space="0" w:color="auto"/>
      </w:divBdr>
    </w:div>
    <w:div w:id="1445733823">
      <w:bodyDiv w:val="1"/>
      <w:marLeft w:val="0"/>
      <w:marRight w:val="0"/>
      <w:marTop w:val="0"/>
      <w:marBottom w:val="0"/>
      <w:divBdr>
        <w:top w:val="none" w:sz="0" w:space="0" w:color="auto"/>
        <w:left w:val="none" w:sz="0" w:space="0" w:color="auto"/>
        <w:bottom w:val="none" w:sz="0" w:space="0" w:color="auto"/>
        <w:right w:val="none" w:sz="0" w:space="0" w:color="auto"/>
      </w:divBdr>
    </w:div>
    <w:div w:id="1505319148">
      <w:bodyDiv w:val="1"/>
      <w:marLeft w:val="0"/>
      <w:marRight w:val="0"/>
      <w:marTop w:val="0"/>
      <w:marBottom w:val="0"/>
      <w:divBdr>
        <w:top w:val="none" w:sz="0" w:space="0" w:color="auto"/>
        <w:left w:val="none" w:sz="0" w:space="0" w:color="auto"/>
        <w:bottom w:val="none" w:sz="0" w:space="0" w:color="auto"/>
        <w:right w:val="none" w:sz="0" w:space="0" w:color="auto"/>
      </w:divBdr>
    </w:div>
    <w:div w:id="1508323981">
      <w:bodyDiv w:val="1"/>
      <w:marLeft w:val="0"/>
      <w:marRight w:val="0"/>
      <w:marTop w:val="0"/>
      <w:marBottom w:val="0"/>
      <w:divBdr>
        <w:top w:val="none" w:sz="0" w:space="0" w:color="auto"/>
        <w:left w:val="none" w:sz="0" w:space="0" w:color="auto"/>
        <w:bottom w:val="none" w:sz="0" w:space="0" w:color="auto"/>
        <w:right w:val="none" w:sz="0" w:space="0" w:color="auto"/>
      </w:divBdr>
    </w:div>
    <w:div w:id="1526213170">
      <w:bodyDiv w:val="1"/>
      <w:marLeft w:val="0"/>
      <w:marRight w:val="0"/>
      <w:marTop w:val="0"/>
      <w:marBottom w:val="0"/>
      <w:divBdr>
        <w:top w:val="none" w:sz="0" w:space="0" w:color="auto"/>
        <w:left w:val="none" w:sz="0" w:space="0" w:color="auto"/>
        <w:bottom w:val="none" w:sz="0" w:space="0" w:color="auto"/>
        <w:right w:val="none" w:sz="0" w:space="0" w:color="auto"/>
      </w:divBdr>
    </w:div>
    <w:div w:id="1526554118">
      <w:bodyDiv w:val="1"/>
      <w:marLeft w:val="0"/>
      <w:marRight w:val="0"/>
      <w:marTop w:val="0"/>
      <w:marBottom w:val="0"/>
      <w:divBdr>
        <w:top w:val="none" w:sz="0" w:space="0" w:color="auto"/>
        <w:left w:val="none" w:sz="0" w:space="0" w:color="auto"/>
        <w:bottom w:val="none" w:sz="0" w:space="0" w:color="auto"/>
        <w:right w:val="none" w:sz="0" w:space="0" w:color="auto"/>
      </w:divBdr>
    </w:div>
    <w:div w:id="1587226531">
      <w:bodyDiv w:val="1"/>
      <w:marLeft w:val="0"/>
      <w:marRight w:val="0"/>
      <w:marTop w:val="0"/>
      <w:marBottom w:val="0"/>
      <w:divBdr>
        <w:top w:val="none" w:sz="0" w:space="0" w:color="auto"/>
        <w:left w:val="none" w:sz="0" w:space="0" w:color="auto"/>
        <w:bottom w:val="none" w:sz="0" w:space="0" w:color="auto"/>
        <w:right w:val="none" w:sz="0" w:space="0" w:color="auto"/>
      </w:divBdr>
    </w:div>
    <w:div w:id="1666204463">
      <w:bodyDiv w:val="1"/>
      <w:marLeft w:val="0"/>
      <w:marRight w:val="0"/>
      <w:marTop w:val="0"/>
      <w:marBottom w:val="0"/>
      <w:divBdr>
        <w:top w:val="none" w:sz="0" w:space="0" w:color="auto"/>
        <w:left w:val="none" w:sz="0" w:space="0" w:color="auto"/>
        <w:bottom w:val="none" w:sz="0" w:space="0" w:color="auto"/>
        <w:right w:val="none" w:sz="0" w:space="0" w:color="auto"/>
      </w:divBdr>
    </w:div>
    <w:div w:id="1683048027">
      <w:bodyDiv w:val="1"/>
      <w:marLeft w:val="0"/>
      <w:marRight w:val="0"/>
      <w:marTop w:val="0"/>
      <w:marBottom w:val="0"/>
      <w:divBdr>
        <w:top w:val="none" w:sz="0" w:space="0" w:color="auto"/>
        <w:left w:val="none" w:sz="0" w:space="0" w:color="auto"/>
        <w:bottom w:val="none" w:sz="0" w:space="0" w:color="auto"/>
        <w:right w:val="none" w:sz="0" w:space="0" w:color="auto"/>
      </w:divBdr>
    </w:div>
    <w:div w:id="1687439789">
      <w:bodyDiv w:val="1"/>
      <w:marLeft w:val="0"/>
      <w:marRight w:val="0"/>
      <w:marTop w:val="0"/>
      <w:marBottom w:val="0"/>
      <w:divBdr>
        <w:top w:val="none" w:sz="0" w:space="0" w:color="auto"/>
        <w:left w:val="none" w:sz="0" w:space="0" w:color="auto"/>
        <w:bottom w:val="none" w:sz="0" w:space="0" w:color="auto"/>
        <w:right w:val="none" w:sz="0" w:space="0" w:color="auto"/>
      </w:divBdr>
    </w:div>
    <w:div w:id="1775321217">
      <w:bodyDiv w:val="1"/>
      <w:marLeft w:val="0"/>
      <w:marRight w:val="0"/>
      <w:marTop w:val="0"/>
      <w:marBottom w:val="0"/>
      <w:divBdr>
        <w:top w:val="none" w:sz="0" w:space="0" w:color="auto"/>
        <w:left w:val="none" w:sz="0" w:space="0" w:color="auto"/>
        <w:bottom w:val="none" w:sz="0" w:space="0" w:color="auto"/>
        <w:right w:val="none" w:sz="0" w:space="0" w:color="auto"/>
      </w:divBdr>
    </w:div>
    <w:div w:id="1789665848">
      <w:bodyDiv w:val="1"/>
      <w:marLeft w:val="0"/>
      <w:marRight w:val="0"/>
      <w:marTop w:val="0"/>
      <w:marBottom w:val="0"/>
      <w:divBdr>
        <w:top w:val="none" w:sz="0" w:space="0" w:color="auto"/>
        <w:left w:val="none" w:sz="0" w:space="0" w:color="auto"/>
        <w:bottom w:val="none" w:sz="0" w:space="0" w:color="auto"/>
        <w:right w:val="none" w:sz="0" w:space="0" w:color="auto"/>
      </w:divBdr>
    </w:div>
    <w:div w:id="1811243342">
      <w:bodyDiv w:val="1"/>
      <w:marLeft w:val="0"/>
      <w:marRight w:val="0"/>
      <w:marTop w:val="0"/>
      <w:marBottom w:val="0"/>
      <w:divBdr>
        <w:top w:val="none" w:sz="0" w:space="0" w:color="auto"/>
        <w:left w:val="none" w:sz="0" w:space="0" w:color="auto"/>
        <w:bottom w:val="none" w:sz="0" w:space="0" w:color="auto"/>
        <w:right w:val="none" w:sz="0" w:space="0" w:color="auto"/>
      </w:divBdr>
    </w:div>
    <w:div w:id="1823231930">
      <w:bodyDiv w:val="1"/>
      <w:marLeft w:val="0"/>
      <w:marRight w:val="0"/>
      <w:marTop w:val="0"/>
      <w:marBottom w:val="0"/>
      <w:divBdr>
        <w:top w:val="none" w:sz="0" w:space="0" w:color="auto"/>
        <w:left w:val="none" w:sz="0" w:space="0" w:color="auto"/>
        <w:bottom w:val="none" w:sz="0" w:space="0" w:color="auto"/>
        <w:right w:val="none" w:sz="0" w:space="0" w:color="auto"/>
      </w:divBdr>
    </w:div>
    <w:div w:id="1843743259">
      <w:bodyDiv w:val="1"/>
      <w:marLeft w:val="0"/>
      <w:marRight w:val="0"/>
      <w:marTop w:val="0"/>
      <w:marBottom w:val="0"/>
      <w:divBdr>
        <w:top w:val="none" w:sz="0" w:space="0" w:color="auto"/>
        <w:left w:val="none" w:sz="0" w:space="0" w:color="auto"/>
        <w:bottom w:val="none" w:sz="0" w:space="0" w:color="auto"/>
        <w:right w:val="none" w:sz="0" w:space="0" w:color="auto"/>
      </w:divBdr>
    </w:div>
    <w:div w:id="1867252923">
      <w:bodyDiv w:val="1"/>
      <w:marLeft w:val="0"/>
      <w:marRight w:val="0"/>
      <w:marTop w:val="0"/>
      <w:marBottom w:val="0"/>
      <w:divBdr>
        <w:top w:val="none" w:sz="0" w:space="0" w:color="auto"/>
        <w:left w:val="none" w:sz="0" w:space="0" w:color="auto"/>
        <w:bottom w:val="none" w:sz="0" w:space="0" w:color="auto"/>
        <w:right w:val="none" w:sz="0" w:space="0" w:color="auto"/>
      </w:divBdr>
    </w:div>
    <w:div w:id="1961836490">
      <w:bodyDiv w:val="1"/>
      <w:marLeft w:val="0"/>
      <w:marRight w:val="0"/>
      <w:marTop w:val="0"/>
      <w:marBottom w:val="0"/>
      <w:divBdr>
        <w:top w:val="none" w:sz="0" w:space="0" w:color="auto"/>
        <w:left w:val="none" w:sz="0" w:space="0" w:color="auto"/>
        <w:bottom w:val="none" w:sz="0" w:space="0" w:color="auto"/>
        <w:right w:val="none" w:sz="0" w:space="0" w:color="auto"/>
      </w:divBdr>
    </w:div>
    <w:div w:id="1968850983">
      <w:bodyDiv w:val="1"/>
      <w:marLeft w:val="0"/>
      <w:marRight w:val="0"/>
      <w:marTop w:val="0"/>
      <w:marBottom w:val="0"/>
      <w:divBdr>
        <w:top w:val="none" w:sz="0" w:space="0" w:color="auto"/>
        <w:left w:val="none" w:sz="0" w:space="0" w:color="auto"/>
        <w:bottom w:val="none" w:sz="0" w:space="0" w:color="auto"/>
        <w:right w:val="none" w:sz="0" w:space="0" w:color="auto"/>
      </w:divBdr>
    </w:div>
    <w:div w:id="2005083912">
      <w:bodyDiv w:val="1"/>
      <w:marLeft w:val="0"/>
      <w:marRight w:val="0"/>
      <w:marTop w:val="0"/>
      <w:marBottom w:val="0"/>
      <w:divBdr>
        <w:top w:val="none" w:sz="0" w:space="0" w:color="auto"/>
        <w:left w:val="none" w:sz="0" w:space="0" w:color="auto"/>
        <w:bottom w:val="none" w:sz="0" w:space="0" w:color="auto"/>
        <w:right w:val="none" w:sz="0" w:space="0" w:color="auto"/>
      </w:divBdr>
    </w:div>
    <w:div w:id="2009094006">
      <w:bodyDiv w:val="1"/>
      <w:marLeft w:val="0"/>
      <w:marRight w:val="0"/>
      <w:marTop w:val="0"/>
      <w:marBottom w:val="0"/>
      <w:divBdr>
        <w:top w:val="none" w:sz="0" w:space="0" w:color="auto"/>
        <w:left w:val="none" w:sz="0" w:space="0" w:color="auto"/>
        <w:bottom w:val="none" w:sz="0" w:space="0" w:color="auto"/>
        <w:right w:val="none" w:sz="0" w:space="0" w:color="auto"/>
      </w:divBdr>
    </w:div>
    <w:div w:id="2032951802">
      <w:bodyDiv w:val="1"/>
      <w:marLeft w:val="0"/>
      <w:marRight w:val="0"/>
      <w:marTop w:val="0"/>
      <w:marBottom w:val="0"/>
      <w:divBdr>
        <w:top w:val="none" w:sz="0" w:space="0" w:color="auto"/>
        <w:left w:val="none" w:sz="0" w:space="0" w:color="auto"/>
        <w:bottom w:val="none" w:sz="0" w:space="0" w:color="auto"/>
        <w:right w:val="none" w:sz="0" w:space="0" w:color="auto"/>
      </w:divBdr>
    </w:div>
    <w:div w:id="2063168961">
      <w:bodyDiv w:val="1"/>
      <w:marLeft w:val="0"/>
      <w:marRight w:val="0"/>
      <w:marTop w:val="0"/>
      <w:marBottom w:val="0"/>
      <w:divBdr>
        <w:top w:val="none" w:sz="0" w:space="0" w:color="auto"/>
        <w:left w:val="none" w:sz="0" w:space="0" w:color="auto"/>
        <w:bottom w:val="none" w:sz="0" w:space="0" w:color="auto"/>
        <w:right w:val="none" w:sz="0" w:space="0" w:color="auto"/>
      </w:divBdr>
    </w:div>
    <w:div w:id="2076077881">
      <w:bodyDiv w:val="1"/>
      <w:marLeft w:val="0"/>
      <w:marRight w:val="0"/>
      <w:marTop w:val="0"/>
      <w:marBottom w:val="0"/>
      <w:divBdr>
        <w:top w:val="none" w:sz="0" w:space="0" w:color="auto"/>
        <w:left w:val="none" w:sz="0" w:space="0" w:color="auto"/>
        <w:bottom w:val="none" w:sz="0" w:space="0" w:color="auto"/>
        <w:right w:val="none" w:sz="0" w:space="0" w:color="auto"/>
      </w:divBdr>
    </w:div>
    <w:div w:id="2134395479">
      <w:bodyDiv w:val="1"/>
      <w:marLeft w:val="0"/>
      <w:marRight w:val="0"/>
      <w:marTop w:val="0"/>
      <w:marBottom w:val="0"/>
      <w:divBdr>
        <w:top w:val="none" w:sz="0" w:space="0" w:color="auto"/>
        <w:left w:val="none" w:sz="0" w:space="0" w:color="auto"/>
        <w:bottom w:val="none" w:sz="0" w:space="0" w:color="auto"/>
        <w:right w:val="none" w:sz="0" w:space="0" w:color="auto"/>
      </w:divBdr>
    </w:div>
    <w:div w:id="21384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458424&amp;_documents_WAR_publicationsportlet_INSTANCE_qDQ8fBKKo4lN_locale=el" TargetMode="External"/><Relationship Id="rId26" Type="http://schemas.openxmlformats.org/officeDocument/2006/relationships/hyperlink" Target="https://www.markiteconomics.com/Public/Home/PressRelease/3d630598d43d41da8aa6f89fe98b6d98" TargetMode="External"/><Relationship Id="rId39" Type="http://schemas.openxmlformats.org/officeDocument/2006/relationships/image" Target="media/image4.png"/><Relationship Id="rId21" Type="http://schemas.openxmlformats.org/officeDocument/2006/relationships/hyperlink" Target="http://www.statistics.gr/el/statistics/-/publication/DKT36/-" TargetMode="External"/><Relationship Id="rId34" Type="http://schemas.openxmlformats.org/officeDocument/2006/relationships/hyperlink" Target="https://appsso.eurostat.ec.europa.eu/nui/show.do?query=BOOKMARK_DS-055104_QID_-596381B5_UID_-3F171EB0&amp;layout=COICOP,L,X,0;TIME,C,Y,0;UNIT,L,Z,0;GEO,L,Z,1;INDICATORS,C,Z,2;&amp;zSelection=DS-055104UNIT,RCH_A;DS-055104INDICATORS,OBS_FLAG;DS-055104GEO,EL;&amp;rankName1=UNIT_1_2_-1_2&amp;rankName2=INDICATORS_1_2_-1_2&amp;rankName3=GEO_1_2_1_1&amp;rankName4=COICOP_1_2_0_0&amp;rankName5=TIME_1_0_0_1&amp;sortR=ASC_-1_FIRST&amp;pprRK=FIRST&amp;pprSO=ASC&amp;rStp=&amp;cStp=&amp;rDCh=&amp;cDCh=&amp;rDM=true&amp;cDM=true&amp;footnes=false&amp;empty=false&amp;wai=false&amp;time_mode=FIXED&amp;time_most_recent=false&amp;lang=EN&amp;cfo=%23%23%23%2C%23%23%23.%23%23%23" TargetMode="External"/><Relationship Id="rId42" Type="http://schemas.openxmlformats.org/officeDocument/2006/relationships/image" Target="media/image6.png"/><Relationship Id="rId47" Type="http://schemas.openxmlformats.org/officeDocument/2006/relationships/hyperlink" Target="https://ypergasias.gov.gr/wp-content/uploads/2022/02/1.-%CE%95%CE%A1%CE%93%CE%91%CE%9D%CE%97-%CE%99%CE%91%CE%9D%CE%9F%CE%A5%CE%91%CE%A1%CE%99%CE%9F%CE%A3-2022.pdf" TargetMode="External"/><Relationship Id="rId50" Type="http://schemas.openxmlformats.org/officeDocument/2006/relationships/hyperlink" Target="https://www.minfin.gr/web/guest/deltia-ekteleses-proupologismou/-/asset_publisher/CQoWAEaKCKga/content/ektelese-kratikou-proupologismou-dekembriou-2021?inheritRedirect=false&amp;redirect=https%3A%2F%2Fwww.minfin.gr%2Fweb%2Fguest%2Fdeltia-ekteleses-proupologismou%3Fp_p_id%3D101_INSTANCE_CQoWAEaKCKga%26p_p_lifecycle%3D0%26p_p_state%3Dnormal%26p_p_mode%3Dview%26p_p_col_id%3Dcolumn-2%26p_p_col_count%3D1" TargetMode="External"/><Relationship Id="rId55" Type="http://schemas.openxmlformats.org/officeDocument/2006/relationships/hyperlink" Target="https://www.aade.gr/open-data/KPIs" TargetMode="External"/><Relationship Id="rId63" Type="http://schemas.openxmlformats.org/officeDocument/2006/relationships/hyperlink" Target="https://www.pdma.gr/el/debt-instruments-gr/announcements-gr/4154-%CE%B5%CE%BA%CE%B4%CE%BF%CF%83%CE%B7-10-%CE%B5%CF%84%CE%BF%CF%85%CF%83-%CE%BF%CE%B5%CE%B4-4" TargetMode="External"/><Relationship Id="rId68" Type="http://schemas.openxmlformats.org/officeDocument/2006/relationships/hyperlink" Target="https://www.pdma.gr/el/debt-instruments-gr/announcements-gr/4186-%CE%B1%CF%80%CE%BF%CF%84%CE%B5%CE%BB%CE%B5%CF%83%CE%BC%CE%B1%CF%84%CE%B1-%CE%B4%CE%B7%CE%BC%CE%BF%CF%80%CF%81%CE%B1%CF%83%CE%B9%CE%B1%CF%83-%CE%B5%CE%BD%CF%84%CE%BF%CE%BA%CF%89%CE%BD-13-%CE%B5%CE%B2%CE%B4%CE%BF%CE%BC%CE%B1%CE%B4%CF%89%CE%BD-23" TargetMode="External"/><Relationship Id="rId7" Type="http://schemas.openxmlformats.org/officeDocument/2006/relationships/footnotes" Target="footnotes.xml"/><Relationship Id="rId71" Type="http://schemas.openxmlformats.org/officeDocument/2006/relationships/hyperlink" Target="http://www.keyd.gov.gr/lyseis-ergaleia/" TargetMode="External"/><Relationship Id="rId2" Type="http://schemas.openxmlformats.org/officeDocument/2006/relationships/customXml" Target="../customXml/item2.xml"/><Relationship Id="rId16" Type="http://schemas.openxmlformats.org/officeDocument/2006/relationships/hyperlink" Target="https://www.policyuncertainty.com/index.html" TargetMode="External"/><Relationship Id="rId29" Type="http://schemas.openxmlformats.org/officeDocument/2006/relationships/hyperlink" Target="https://www.bankofgreece.gr/statistika/nomismatikh-kai-trapezikh-statistiki/xrhmatodothsh-ths-ellhnikhs-oikonomias" TargetMode="External"/><Relationship Id="rId11" Type="http://schemas.openxmlformats.org/officeDocument/2006/relationships/header" Target="header2.xml"/><Relationship Id="rId24" Type="http://schemas.openxmlformats.org/officeDocument/2006/relationships/hyperlink" Target="https://www.statistics.gr/el/statistics/-/publication/SEL81/-" TargetMode="External"/><Relationship Id="rId32" Type="http://schemas.openxmlformats.org/officeDocument/2006/relationships/hyperlink" Target="https://appsso.eurostat.ec.europa.eu/nui/show.do?query=BOOKMARK_DS-055104_QID_1FD53C04_UID_-3F171EB0&amp;layout=COICOP,L,X,0;TIME,C,Y,0;UNIT,L,Z,0;GEO,L,Z,1;INDICATORS,C,Z,2;&amp;zSelection=DS-055104UNIT,RCH_A;DS-055104INDICATORS,OBS_FLAG;DS-055104GEO,EL;&amp;rankName1=UNIT_1_2_-1_2&amp;rankName2=INDICATORS_1_2_-1_2&amp;rankName3=GEO_1_2_1_1&amp;rankName4=COICOP_1_2_0_0&amp;rankName5=TIME_1_0_0_1&amp;sortR=ASC_-1_FIRST&amp;pprRK=FIRST&amp;pprSO=ASC&amp;rStp=&amp;cStp=&amp;rDCh=&amp;cDCh=&amp;rDM=true&amp;cDM=true&amp;footnes=false&amp;empty=false&amp;wai=false&amp;time_mode=FIXED&amp;time_most_recent=false&amp;lang=EN&amp;cfo=%23%23%23%2C%23%23%23.%23%23%23" TargetMode="External"/><Relationship Id="rId37" Type="http://schemas.openxmlformats.org/officeDocument/2006/relationships/hyperlink" Target="https://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458923&amp;_documents_WAR_publicationsportlet_INSTANCE_qDQ8fBKKo4lN_locale=el" TargetMode="External"/><Relationship Id="rId40" Type="http://schemas.openxmlformats.org/officeDocument/2006/relationships/hyperlink" Target="https://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457760&amp;_documents_WAR_publicationsportlet_INSTANCE_qDQ8fBKKo4lN_locale=el" TargetMode="External"/><Relationship Id="rId45" Type="http://schemas.openxmlformats.org/officeDocument/2006/relationships/hyperlink" Target="https://appsso.eurostat.ec.europa.eu/nui/show.do?query=BOOKMARK_DS-055906_QID_600D05AF_UID_-3F171EB0&amp;layout=GEO,L,X,0;TIME,C,Y,0;SEX,L,Z,0;AGE,L,Z,1;UNIT,L,Z,2;INDICATORS,C,Z,3;&amp;zSelection=DS-055906INDICATORS,OBS_FLAG;DS-055906AGE,Y15-64;DS-055906SEX,T;DS-055906UNIT,PC;&amp;rankName1=UNIT_1_2_-1_2&amp;rankName2=AGE_1_2_-1_2&amp;rankName3=INDICATORS_1_2_-1_2&amp;rankName4=SEX_1_2_-1_2&amp;rankName5=GEO_1_2_0_0&amp;rankName6=TIME_1_0_0_1&amp;sortR=ASC_-1_FIRST&amp;rStp=&amp;cStp=&amp;rDCh=&amp;cDCh=&amp;rDM=true&amp;cDM=true&amp;footnes=false&amp;empty=false&amp;wai=false&amp;time_mode=FIXED&amp;time_most_recent=false&amp;lang=EN&amp;cfo=%23%23%23%2C%23%23%23.%23%23%23" TargetMode="External"/><Relationship Id="rId53" Type="http://schemas.openxmlformats.org/officeDocument/2006/relationships/hyperlink" Target="https://www.minfin.gr/web/guest/deltia-ekteleses-proupologismou/-/asset_publisher/CQoWAEaKCKga/content/deltio-meniaion-stoicheion-genikes-kyberneses-dekembriou-2021?inheritRedirect=false&amp;redirect=https%3A%2F%2Fwww.minfin.gr%2Fweb%2Fguest%2Fdeltia-ekteleses-proupologismou%3Fp_p_id%3D101_INSTANCE_CQoWAEaKCKga%26p_p_lifecycle%3D0%26p_p_state%3Dnormal%26p_p_mode%3Dview%26p_p_col_id%3Dcolumn-2%26p_p_col_count%3D1" TargetMode="External"/><Relationship Id="rId58" Type="http://schemas.openxmlformats.org/officeDocument/2006/relationships/image" Target="media/image10.png"/><Relationship Id="rId66" Type="http://schemas.openxmlformats.org/officeDocument/2006/relationships/hyperlink" Target="https://www.pdma.gr/el/debt-instruments-gr/announcements-gr/4254-%CE%B1%CF%80%CE%BF%CF%84%CE%B5%CE%BB%CE%B5%CF%83%CE%BC%CE%B1%CF%84%CE%B1-%CE%B4%CE%B7%CE%BC%CE%BF%CF%80%CF%81%CE%B1%CF%83%CE%B9%CE%B1%CF%83-%CE%B5%CE%BD%CF%84%CE%BF%CE%BA%CF%89%CE%BD-26-%CE%B5%CE%B2%CE%B4%CE%BF%CE%BC%CE%B1%CE%B4%CF%89%CE%BD-38"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cb.europa.eu/pub/projections/html/ecb.projections202203_ecbstaff~44f998dfd7.en.html" TargetMode="External"/><Relationship Id="rId23" Type="http://schemas.openxmlformats.org/officeDocument/2006/relationships/hyperlink" Target="http://www.statistics.gr/el/statistics/-/publication/SEL18/-" TargetMode="External"/><Relationship Id="rId28" Type="http://schemas.openxmlformats.org/officeDocument/2006/relationships/hyperlink" Target="https://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458117&amp;_documents_WAR_publicationsportlet_INSTANCE_qDQ8fBKKo4lN_locale=el" TargetMode="External"/><Relationship Id="rId36" Type="http://schemas.openxmlformats.org/officeDocument/2006/relationships/hyperlink" Target="https://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458213&amp;_documents_WAR_publicationsportlet_INSTANCE_qDQ8fBKKo4lN_locale=el" TargetMode="External"/><Relationship Id="rId49" Type="http://schemas.openxmlformats.org/officeDocument/2006/relationships/hyperlink" Target="https://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455850&amp;_documents_WAR_publicationsportlet_INSTANCE_qDQ8fBKKo4lN_locale=el" TargetMode="External"/><Relationship Id="rId57" Type="http://schemas.openxmlformats.org/officeDocument/2006/relationships/image" Target="media/image9.png"/><Relationship Id="rId61"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hyperlink" Target="https://appsso.eurostat.ec.europa.eu/nui/show.do?query=BOOKMARK_DS-406763_QID_-AE29537_UID_-3F171EB0&amp;layout=GEO,L,X,0;TIME,C,Y,0;UNIT,L,Z,0;NA_ITEM,L,Z,1;INDICATORS,C,Z,2;&amp;zSelection=DS-406763INDICATORS,OBS_FLAG;DS-406763UNIT,CLV_PCH_PRE;DS-406763NA_ITEM,B1GQ;&amp;rankName1=UNIT_1_2_-1_2&amp;rankName2=INDICATORS_1_2_-1_2&amp;rankName3=NA-ITEM_1_2_-1_2&amp;rankName4=GEO_1_2_0_0&amp;rankName5=TIME_1_0_0_1&amp;sortR=ASC_-1_FIRST&amp;rStp=&amp;cStp=&amp;rDCh=&amp;cDCh=&amp;rDM=true&amp;cDM=true&amp;footnes=false&amp;empty=false&amp;wai=false&amp;time_mode=FIXED&amp;time_most_recent=false&amp;lang=EN&amp;cfo=%23%23%23%2C%23%23%23.%23%23%23" TargetMode="External"/><Relationship Id="rId31" Type="http://schemas.openxmlformats.org/officeDocument/2006/relationships/hyperlink" Target="https://www.bankofgreece.gr/statistika/nomismatikh-kai-trapezikh-statistiki/katatheseis-twn-pistwtikwn-idrymatwn" TargetMode="External"/><Relationship Id="rId44" Type="http://schemas.openxmlformats.org/officeDocument/2006/relationships/hyperlink" Target="https://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454071&amp;_documents_WAR_publicationsportlet_INSTANCE_qDQ8fBKKo4lN_locale=el" TargetMode="External"/><Relationship Id="rId52" Type="http://schemas.openxmlformats.org/officeDocument/2006/relationships/hyperlink" Target="https://www.minfin.gr/web/guest/deltia-ekteleses-proupologismou/-/asset_publisher/CQoWAEaKCKga/content/ektelese-kratikou-proupologismou-dekembriou-2021?inheritRedirect=false&amp;redirect=https%3A%2F%2Fwww.minfin.gr%2Fweb%2Fguest%2Fdeltia-ekteleses-proupologismou%3Fp_p_id%3D101_INSTANCE_CQoWAEaKCKga%26p_p_lifecycle%3D0%26p_p_state%3Dnormal%26p_p_mode%3Dview%26p_p_col_id%3Dcolumn-2%26p_p_col_count%3D1" TargetMode="External"/><Relationship Id="rId60" Type="http://schemas.openxmlformats.org/officeDocument/2006/relationships/hyperlink" Target="https://www.efka.gov.gr/el/ektheseis-proodoy-ton-ergasion-toy-keao" TargetMode="External"/><Relationship Id="rId65" Type="http://schemas.openxmlformats.org/officeDocument/2006/relationships/hyperlink" Target="https://www.pdma.gr/el/debt-instruments-gr/announcements-gr/3716-%CE%B5%CE%BA%CE%B4%CE%BF%CF%83%CE%B7-10-%CE%B5%CF%84%CE%BF%CF%85%CF%83-%CE%BF%CE%B5%CE%B4-3"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bo.gr" TargetMode="External"/><Relationship Id="rId22" Type="http://schemas.openxmlformats.org/officeDocument/2006/relationships/hyperlink" Target="https://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436070&amp;_documents_WAR_publicationsportlet_INSTANCE_qDQ8fBKKo4lN_locale=el" TargetMode="External"/><Relationship Id="rId27" Type="http://schemas.openxmlformats.org/officeDocument/2006/relationships/hyperlink" Target="https://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458620&amp;_documents_WAR_publicationsportlet_INSTANCE_qDQ8fBKKo4lN_locale=el" TargetMode="External"/><Relationship Id="rId30" Type="http://schemas.openxmlformats.org/officeDocument/2006/relationships/hyperlink" Target="https://www.bankofgreece.gr/statistika/nomismatikh-kai-trapezikh-statistiki/epitokia-katathesewn-kai-daneiwn" TargetMode="External"/><Relationship Id="rId35" Type="http://schemas.openxmlformats.org/officeDocument/2006/relationships/hyperlink" Target="https://appsso.eurostat.ec.europa.eu/nui/show.do?query=BOOKMARK_DS-055104_QID_77B9CCF1_UID_-3F171EB0&amp;layout=COICOP,L,X,0;GEO,L,X,1;TIME,C,Y,0;UNIT,L,Z,0;INDICATORS,C,Z,1;&amp;zSelection=DS-055104UNIT,RCH_A;DS-055104INDICATORS,OBS_FLAG;&amp;rankName1=UNIT_1_2_-1_2&amp;rankName2=INDICATORS_1_2_-1_2&amp;rankName3=COICOP_1_2_0_0&amp;rankName4=GEO_1_2_1_0&amp;rankName5=TIME_1_0_0_1&amp;sortR=ASC_-1_FIRST&amp;rStp=&amp;cStp=&amp;rDCh=&amp;cDCh=&amp;rDM=true&amp;cDM=true&amp;footnes=false&amp;empty=false&amp;wai=false&amp;time_mode=FIXED&amp;time_most_recent=false&amp;lang=EN&amp;cfo=%23%23%23%2C%23%23%23.%23%23%23" TargetMode="External"/><Relationship Id="rId43" Type="http://schemas.openxmlformats.org/officeDocument/2006/relationships/hyperlink" Target="https://www.statistics.gr/el/statistics?p_p_id=documents_WAR_publicationsportlet_INSTANCE_qDQ8fBKKo4lN&amp;p_p_lifecycle=2&amp;p_p_state=normal&amp;p_p_mode=view&amp;p_p_cacheability=cacheLevelPage&amp;p_p_col_id=column-2&amp;p_p_col_count=4&amp;p_p_col_pos=1&amp;_documents_WAR_publicationsportlet_INSTANCE_qDQ8fBKKo4lN_javax.faces.resource=document&amp;_documents_WAR_publicationsportlet_INSTANCE_qDQ8fBKKo4lN_ln=downloadResources&amp;_documents_WAR_publicationsportlet_INSTANCE_qDQ8fBKKo4lN_documentID=457760&amp;_documents_WAR_publicationsportlet_INSTANCE_qDQ8fBKKo4lN_locale=el" TargetMode="External"/><Relationship Id="rId48" Type="http://schemas.openxmlformats.org/officeDocument/2006/relationships/hyperlink" Target="https://ypergasias.gov.gr/wp-content/uploads/2021/02/1.%CE%95%CE%A1%CE%93%CE%91%CE%9D%CE%97-%CE%99%CE%91%CE%9D%CE%9F%CE%A5%CE%91%CE%A1%CE%99%CE%9F%CE%A3-2021.pdf" TargetMode="External"/><Relationship Id="rId56" Type="http://schemas.openxmlformats.org/officeDocument/2006/relationships/image" Target="media/image8.png"/><Relationship Id="rId64" Type="http://schemas.openxmlformats.org/officeDocument/2006/relationships/hyperlink" Target="http://www.pdma.gr/el/debt-instruments-gr/announcements-gr/3449-%CE%B5%CE%BA%CE%B4%CE%BF%CF%83%CE%B7-10-%CE%B5%CF%84%CE%BF%CF%85%CF%83-%CE%BF%CE%B5%CE%B4-2" TargetMode="External"/><Relationship Id="rId69" Type="http://schemas.openxmlformats.org/officeDocument/2006/relationships/hyperlink" Target="https://www.efka.gov.gr/sites/default/files/2021-06/%CE%A0%CE%A3%20%CE%91%CE%A4%CE%9B%CE%91%CE%A3-%CE%9C%CE%91%CE%A1%CE%A4%CE%99%CE%9F%CE%A3.pdf" TargetMode="External"/><Relationship Id="rId8" Type="http://schemas.openxmlformats.org/officeDocument/2006/relationships/endnotes" Target="endnotes.xml"/><Relationship Id="rId51" Type="http://schemas.openxmlformats.org/officeDocument/2006/relationships/hyperlink" Target="https://www.minfin.gr/web/guest/deltia-ekteleses-proupologismou/-/asset_publisher/CQoWAEaKCKga/content/deltio-meniaion-stoicheion-genikes-kyberneses-dekembriou-2021?inheritRedirect=false&amp;redirect=https%3A%2F%2Fwww.minfin.gr%2Fweb%2Fguest%2Fdeltia-ekteleses-proupologismou%3Fp_p_id%3D101_INSTANCE_CQoWAEaKCKga%26p_p_lifecycle%3D0%26p_p_state%3Dnormal%26p_p_mode%3Dview%26p_p_col_id%3Dcolumn-2%26p_p_col_count%3D1" TargetMode="External"/><Relationship Id="rId72" Type="http://schemas.openxmlformats.org/officeDocument/2006/relationships/hyperlink" Target="https://hradf.com/wp-content/uploads/2021/12/%CE%9D%CE%B5%CE%B1%CE%97%CF%81%CE%B1%CE%BA%CE%BB%CE%B5%CE%B9%CF%84%CF%83%CE%B1_eAuctionPleiodosia211221.pdf"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ec.europa.eu/economy_finance/db_indicators/surveys/documents/2022/bcs_2022_02_statistical_annex_en.pdf" TargetMode="External"/><Relationship Id="rId33" Type="http://schemas.openxmlformats.org/officeDocument/2006/relationships/image" Target="media/image3.png"/><Relationship Id="rId38" Type="http://schemas.openxmlformats.org/officeDocument/2006/relationships/hyperlink" Target="https://www.bankofgreece.gr/enimerosi/grafeio-typoy/anazhthsh-enhmerwsewn/enhmerwseis?announcement=8499a196-c696-4701-9694-06facf29984a" TargetMode="External"/><Relationship Id="rId46" Type="http://schemas.openxmlformats.org/officeDocument/2006/relationships/hyperlink" Target="https://appsso.eurostat.ec.europa.eu/nui/show.do?query=BOOKMARK_DS-055926_QID_-A6309B1_UID_-3F171EB0&amp;layout=GEO,L,X,0;TIME,C,Y,0;SEX,L,Z,0;AGE,L,Z,1;UNIT,L,Z,2;INDICATORS,C,Z,3;&amp;zSelection=DS-055926AGE,Y15-64;DS-055926INDICATORS,OBS_FLAG;DS-055926UNIT,PC;DS-055926SEX,T;&amp;rankName1=UNIT_1_2_-1_2&amp;rankName2=AGE_1_2_-1_2&amp;rankName3=INDICATORS_1_2_-1_2&amp;rankName4=SEX_1_2_-1_2&amp;rankName5=GEO_1_2_0_0&amp;rankName6=TIME_1_0_0_1&amp;sortR=ASC_-1_FIRST&amp;rStp=&amp;cStp=&amp;rDCh=&amp;cDCh=&amp;rDM=true&amp;cDM=true&amp;footnes=false&amp;empty=false&amp;wai=false&amp;time_mode=FIXED&amp;time_most_recent=false&amp;lang=EN&amp;cfo=%23%23%23%2C%23%23%23.%23%23%23" TargetMode="External"/><Relationship Id="rId59" Type="http://schemas.openxmlformats.org/officeDocument/2006/relationships/image" Target="media/image11.png"/><Relationship Id="rId67" Type="http://schemas.openxmlformats.org/officeDocument/2006/relationships/hyperlink" Target="https://www.pdma.gr/el/debt-instruments-gr/announcements-gr/4295-%CE%B1%CF%80%CE%BF%CF%84%CE%B5%CE%BB%CE%B5%CF%83%CE%BC%CE%B1%CF%84%CE%B1-%CE%B4%CE%B7%CE%BC%CE%BF%CF%80%CF%81%CE%B1%CF%83%CE%B9%CE%B1%CF%83-%CE%B5%CE%BD%CF%84%CE%BF%CE%BA%CF%89%CE%BD-52-%CE%B5%CE%B2%CE%B4%CE%BF%CE%BC%CE%B1%CE%B4%CF%89%CE%BD-12" TargetMode="External"/><Relationship Id="rId20" Type="http://schemas.openxmlformats.org/officeDocument/2006/relationships/hyperlink" Target="https://appsso.eurostat.ec.europa.eu/nui/show.do?query=BOOKMARK_DS-406779_QID_-2467AF9A_UID_-3F171EB0&amp;layout=GEO,L,X,0;TIME,C,Y,0;UNIT,L,Z,0;S_ADJ,L,Z,1;NA_ITEM,L,Z,2;INDICATORS,C,Z,3;&amp;zSelection=DS-406779UNIT,CLV_PCH_SM;DS-406779INDICATORS,OBS_FLAG;DS-406779S_ADJ,SCA;DS-406779NA_ITEM,B1GQ;&amp;rankName1=UNIT_1_2_-1_2&amp;rankName2=INDICATORS_1_2_-1_2&amp;rankName3=NA-ITEM_1_2_-1_2&amp;rankName4=S-ADJ_1_2_-1_2&amp;rankName5=GEO_1_2_0_0&amp;rankName6=TIME_1_0_0_1&amp;sortR=ASC_-1_FIRST&amp;rStp=&amp;cStp=&amp;rDCh=&amp;cDCh=&amp;rDM=true&amp;cDM=true&amp;footnes=false&amp;empty=false&amp;wai=false&amp;time_mode=FIXED&amp;time_most_recent=false&amp;lang=EN&amp;cfo=%23%23%23%2C%23%23%23.%23%23%23" TargetMode="External"/><Relationship Id="rId41" Type="http://schemas.openxmlformats.org/officeDocument/2006/relationships/image" Target="media/image5.png"/><Relationship Id="rId54" Type="http://schemas.openxmlformats.org/officeDocument/2006/relationships/image" Target="media/image7.jpeg"/><Relationship Id="rId62" Type="http://schemas.openxmlformats.org/officeDocument/2006/relationships/hyperlink" Target="https://www.ecb.europa.eu/press/pr/date/2022/html/ecb.mp220310~2d19f8ba60.el.html" TargetMode="External"/><Relationship Id="rId70" Type="http://schemas.openxmlformats.org/officeDocument/2006/relationships/hyperlink" Target="http://www.et.gr/idocs-nph/search/pdfViewerForm.html?args=5C7QrtC22wFqnM3eAbJzrXdtvSoClrL8C7zJqgnbkUX3U4LPcASlceJInJ48_97uHrMts-zFzeyCiBSQOpYnTy36MacmUFCx2ppFvBej56Mmc8Qdb8ZfRJqZnsIAdk8Lv_e6czmhEembNmZCMxLMtWn8dBmSVDO0O-730jYqn_AVuKWXcJugL5CAxqHL9oF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ose.gr/organismos/%ce%bf%ce%b9%ce%ba%ce%bf%ce%bd%ce%bf%ce%bc%ce%b9%ce%ba%ce%ac-%cf%83%cf%84%ce%bf%ce%b9%cf%87%ce%b5%ce%af%ce%b1-%ce%b5%ce%ba%ce%b8%ce%ad%cf%83%ce%b5%ce%b9%cf%82-%cf%80%ce%b5%cf%80%cf%81%ce%b1%ce%b3/" TargetMode="External"/><Relationship Id="rId1" Type="http://schemas.openxmlformats.org/officeDocument/2006/relationships/hyperlink" Target="https://www.aade.gr/dl_assets/dos/ofeilnp2019_3.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Γραφείο Προϋπολογισμού του Κράτους στη Βουλή</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F3105-0D4D-4247-A2BA-596A916D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13228</Words>
  <Characters>75402</Characters>
  <Application>Microsoft Office Word</Application>
  <DocSecurity>0</DocSecurity>
  <Lines>628</Lines>
  <Paragraphs>176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Έκθεση Δ τριμήνου 2021</vt:lpstr>
      <vt:lpstr>Έκθεση Δ τριμήνου 2021</vt:lpstr>
    </vt:vector>
  </TitlesOfParts>
  <Company>Γραφείο Προϋπολογισμού του Κράτους στη Βουλή</Company>
  <LinksUpToDate>false</LinksUpToDate>
  <CharactersWithSpaces>88454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Δ τριμήνου 2021</dc:title>
  <dc:creator>franciscos</dc:creator>
  <cp:lastModifiedBy>IT</cp:lastModifiedBy>
  <cp:revision>2</cp:revision>
  <cp:lastPrinted>2021-09-21T10:13:00Z</cp:lastPrinted>
  <dcterms:created xsi:type="dcterms:W3CDTF">2022-03-15T08:39:00Z</dcterms:created>
  <dcterms:modified xsi:type="dcterms:W3CDTF">2022-03-15T08:39:00Z</dcterms:modified>
</cp:coreProperties>
</file>